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ZD08.007738 vom 8. Februar 2010</w:t>
      </w:r>
    </w:p>
    <w:p>
      <w:r>
        <w:t>VD Tribunal cantonal, 2010-02-08, FR</w:t>
      </w:r>
    </w:p>
    <w:p>
      <w:r>
        <w:rPr>
          <w:b/>
        </w:rPr>
        <w:t xml:space="preserve">Quelle: </w:t>
      </w:r>
      <w:r>
        <w:t>https://mcp.opencaselaw.ch/entscheid/vd_gerichte_ZD08.007738</w:t>
      </w:r>
    </w:p>
    <w:p>
      <w:r>
        <w:t>FR: VD_GERICHTE ZD08.007738 du 8 février 2010</w:t>
      </w:r>
    </w:p>
    <w:p>
      <w:r>
        <w:t>IT: VD_GERICHTE ZD08.007738 del 8 febbraio 2010</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t>- 4 -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Est litigieuse en l’espèce la question du droit du recourant à une rente d’invalidité. Il n’est pas contesté que l’assuré présente une incapacité de travail importante du fait de son atteinte à la santé psychique depuis 1999. Reste dès lors à déterminer s’il compte une durée de cotisations suffisante pour lui ouvrir le droit aux prestations de l’assurance-invalidité. a) Aux termes de l'art. 36 al. 1 LAI (loi fédérale du 19 juin 1959 sur l'assurance-invalidité, RS 831.20, dans sa teneur en vigueur jusqu’au 31 décembre 2007 ; cf. ATF 130 V 445), ont droit aux rentes ordinaires les assurés qui, lors de la survenance de l'invalidité, comptent une année entière au moins de cotisations. Selon l'art. 4 al. 2 LAI, l'invalidité est réputée survenue dès qu'elle est, par sa nature et sa gravité, propre à ouvrir droit aux prestations entrant en considération. S'agissant du droit à une rente, la survenance de l'invalidité se situe au plus tôt à la date dès laquelle l'assuré a présenté, en moyenne, une incapacité de travail de 40% au moins pendant une année sans interruption notable (art. 29 al. 1 let. b LAI). b) En vertu du principe de la primauté du droit international sur le droit interne, le droit éventuel du recourant à une rente d'invalidité doit être examiné sous l'angle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applicable depuis le 1er juin 2002 en vertu de l'art. 1 par. 1 de l'annexe II de l'Accord du 21 juin 1999 entre, d'une part, la Confédération suisse et, d'autre part, la Communauté européenne</w:t>
      </w:r>
    </w:p>
    <w:p>
      <w:r>
        <w:t>- 5 - et ses Etats membres, sur la libre circulation des personnes (ALCP, RS 0.142.112.681), auquel renvoie l'art. 8 de l'accord et qui fait partie intégrante de celui-ci (art. 15 ALCP ; cf. ATF 130 V 335 consid. 2.2). 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(TF 9C_516/2008 du 15 avril 2009, consid. 6.4.1). D’une manière générale, lorsqu'une personne a été assurée dans plusieurs Etats membres, la réglementation communautaire implique un régime de rentes partielles de la Suisse, d'une part, et de l'Etat de l'Union européenne concerné d'autre part ; la rente suisse est alors déterminée uniquement en fonction des périodes d'assurance en Suisse (ATF 130 V 247 consid. 4.2 et les références). En d’autres termes, les rentes de l'assurance-invalidité sont fixées de manière autonome, c'est-à- dire compte tenu seulement des périodes accomplies sous la législation nationale (ATF 133 V 329 consid. 4.4 et les références). c) En l’espèce, le recourant n’est arrivé en Suisse qu’au mois de janvier 2005. Or, conformément à la jurisprudence exposée ci-dessus, seule la période de cotisations versées en Suisse peut être prise en compte. Partant, dans la mesure où l’assuré ne comptait pas une année entière au moins de cotisations en Suisse lors de la survenance de son invalidité en 1999 et qu’il vivait en France, le droit à une rente suisse ne lui est pas ouvert. En revanche, dès lors que l’intéressé résidait alors en France, il pourrait le cas échéant prétendre à une rente dans son pays d’origine aux conditions de la législation française applicable, une procédure ayant par ailleurs été engagée dans ce sens avec l’Union européenne.</w:t>
      </w:r>
    </w:p>
    <w:p>
      <w:r>
        <w:rPr>
          <w:b/>
        </w:rPr>
        <w:t>E. 3</w:t>
      </w:r>
    </w:p>
    <w:p>
      <w:r>
        <w:t>Au vu de ce qui précède, le recours se révèle mal fondé et doit donc être rejeté, ce qui entraîne la confirmation de la décision entreprise.</w:t>
      </w:r>
    </w:p>
    <w:p>
      <w:r>
        <w:t>- 6 - 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