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ZD08.007490 vom 14. September 2009</w:t>
      </w:r>
    </w:p>
    <w:p>
      <w:r>
        <w:t>VD Tribunal cantonal, 2009-09-14, FR</w:t>
      </w:r>
    </w:p>
    <w:p>
      <w:r>
        <w:rPr>
          <w:b/>
        </w:rPr>
        <w:t xml:space="preserve">Quelle: </w:t>
      </w:r>
      <w:r>
        <w:t>https://mcp.opencaselaw.ch/entscheid/vd_gerichte_ZD08.007490</w:t>
      </w:r>
    </w:p>
    <w:p>
      <w:r>
        <w:t>FR: VD_GERICHTE ZD08.007490 du 14 septembre 2009</w:t>
      </w:r>
    </w:p>
    <w:p>
      <w:r>
        <w:t>IT: VD_GERICHTE ZD08.007490 del 14 settembre 2009</w:t>
      </w:r>
    </w:p>
    <w:p>
      <w:pPr>
        <w:pStyle w:val="Heading2"/>
      </w:pPr>
      <w:r>
        <w:t>Erwägungen</w:t>
      </w:r>
    </w:p>
    <w:p>
      <w:r>
        <w:rPr>
          <w:b/>
        </w:rPr>
        <w:t>E. 1</w:t>
      </w:r>
    </w:p>
    <w:p>
      <w:r>
        <w:t>Interjeté dans le délai de trente jours dès la notification de la décision sur opposition attaquée et respectant les autres exigences formelles légales, le recours est recevable (art. 60 al. 1 LPGA [loi fédérale du 6 octobre 2000 sur la partie générale du droit des assurances sociales; RS 830.1]).</w:t>
      </w:r>
    </w:p>
    <w:p>
      <w:r>
        <w:t>- 9 - La LPA-VD (loi cantonale vaudoise du 28 octobre 2008 sur la procédure administrative; RSV 173.36), entrée en vigueur le 1er janvier 2009 et qui s'applique aux recours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w:t>
      </w:r>
    </w:p>
    <w:p>
      <w:r>
        <w:rPr>
          <w:b/>
        </w:rPr>
        <w:t>E. 2</w:t>
      </w:r>
    </w:p>
    <w:p>
      <w:r>
        <w:t>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2002 et, après le 1er janvier 2003, respectivement le 1er janvier 2004, en fonction des nouvelles normes de la LPGA et des modifications de la LAI (loi fédérale sur l'assurance-invalidité; RS 831.20) consécutives à la 4ème révision de cette loi, en vigueur jusqu'au 31 décembre 2007 (ATF 130 V 455; voir également ATF 130 V 329). A partir du 1er janvier 2008 est entrée en vigueur la 5ème révision de la LAI, dont les normes sont applicables au présent cas dans leur teneur consécutive à cette modification législative.</w:t>
      </w:r>
    </w:p>
    <w:p>
      <w:r>
        <w:rPr>
          <w:b/>
        </w:rPr>
        <w:t>E. 3</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- 10 - des liens étroits avec la question litigieuse (cf. ATF 125 V 413 consid. 2c p. 417; ATF 110 V 48 consid. 4a; RCC 1985 p. 53). En l'espèce, est seul contestée la quotité du taux d'invalidité du recourant à partir du 1er avril 2003, E.________ soutenant que celui-ci est de 50 % et non de 47 % comme retenu par l'OAI dans la décision attaquée, ce qui lui donnerait droit à une demi-rente au lieu d'un quart de rente.</w:t>
      </w:r>
    </w:p>
    <w:p>
      <w:r>
        <w:rPr>
          <w:b/>
        </w:rPr>
        <w:t>E. 4</w:t>
      </w:r>
    </w:p>
    <w:p>
      <w:r>
        <w:t>L'art. 28 al. 1 LAI prévoit qu'un taux d'invalidité de 40 % au moins donne droit à un quart de rente, et de 50 % au moins à une demi- rente. Cette règle est valable pour toute la période à prendre en considération en l'espèce. Selon l'art. 16 LPGA (et auparavant selon l'art.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recourant, né en 1950, ne paraissait pas suffisamment âgé, à la date déterminante dans cette procédure, pour qu'il y ait lieu de faire abstraction de l'exercice d'une profession dans une activité adaptée (TF 9C_1043/2008 du 2 juillet 2009 consid. 3.2 et les références). Le revenu sans invalidité de 58'173 fr. 50 et le revenu d'invalide de 41'426 fr. 40 (à 100 %), établis par l'intimé conformément à la jurisprudence et la pratique en la matière, ne sont du reste pas contestés en tant que tels par celui-ci, pas plus que le principe même de la comparaison des revenus et le calcul qui en résulte. Le recourant fait uniquement valoir que, dès le 6 décembre 2002, sa capacité de travail ne serait pas de 75 % comme retenu par l'intimé, mais de 70 % au maximum, ce qui porterait son revenu d'invalide à 28'998 fr. 50 (41'426 fr. 40 x 70 %) et son taux d'invalidité résultant de la comparaison des revenus à 50.15 % ([58'173 fr. 50 – 28'998 fr. 50] / 58'173 fr. 50 x 100).</w:t>
      </w:r>
    </w:p>
    <w:p>
      <w:r>
        <w:t>- 11 -</w:t>
      </w:r>
    </w:p>
    <w:p>
      <w:r>
        <w:rPr>
          <w:b/>
        </w:rPr>
        <w:t>E. 5</w:t>
      </w:r>
    </w:p>
    <w:p>
      <w:r>
        <w:t>Le recourant justifie la diminution de sa capacité de travail par une baisse de rendement d'au minimum 30 pour-cent. Il conteste dès lors les conclusions du rapport d'examen clinique orthopédique effectué par le Dr K.________, sur lesquelles se fonde principalement l'intimé, remettant en cause la valeur probante de ce document au regard de l'ensemble des circonstances du cas, telles qu'elles ressortent notamment de l'avis de ses médecins traitants ainsi que du rapport du Centre COPAI - ORIPH. En particulier, il estime que le Dr K.________ ne justifierait pas son choix du taux de 25 % de baisse de rendement finalement retenu sur la fourchette de 25 à 30 % qu'il avait initialement fixée. a) Selon la jurisprudence,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Le juge peut accorder valeur probante aux rapports des médecins des assureurs aussi longtemps que ceux-ci aboutissent à des résultats convaincants, que leur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831.201) a une valeur probante s'il remplit les exigences requises par la jurisprudence (TF 9C_776/2007 du 14 août 2008; ATFA, 28 octobre 2002, I 523/02, consid. 3; ATF 125 V 351 consid. 3a).</w:t>
      </w:r>
    </w:p>
    <w:p>
      <w:r>
        <w:t>- 12 -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VSI 2001 p. 106 consid. 3b/bb et cc; Frésard/Moser-Szeless, L'assurance-accidents obligatoire, in Schweizerisches Bundesverwaltungsrecht [SBVR], Soziale Sicherheit, 2ème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b) En l’occurrence, le Dr K.________ a rédigé un rapport qui contient un chapitre anamnèse détaillé. Ce rapport a été établi sur la base d'un examen clinique orthopédique complet, y compris du rachis. Ce rapport fait état d'une analyse du dossier radiologique mais cela concerne uniquement les genoux et le bassin. Il n'y a pas eu d'examen radiologique de la colonne. S'agissant de l'atteinte au genou droit, il y a lieu de considérer que ce rapport médical a une pleine valeur probante, au regard des principes posés par la jurisprudence (supra, consid. 5a). Les médecins traitants du recourant, notamment le Dr P.________, ne présentent pas sur ce point des constatations médicales sensiblement différentes de celles des Drs K.________, V.________ et R.________. En revanche, l'absence d'examen radiologique de la colonne apparaît comme une lacune du rapport du SMR (Dr K.________). Le diagnostic mentionne un status après mise en place d’un fixateur interne pour une fracture de L1-L2. Ce médecin a donc tenu compte des séquelles de la fracture lombaire occasionnée par l’accident subi en 1989 et c'est un</w:t>
      </w:r>
    </w:p>
    <w:p>
      <w:r>
        <w:t>- 13 - élément qui a été retenu comme ayant une répercussion sur la capacité de travail, y compris sur celle exigible dans une activité adaptée. Il s'agit donc d'un élément décisif. Dans ces conditions, l'avis de l'expert du SMR ne saurait être considéré comme fondé sur des examens complets. Les exigences du droit fédéral à ce propos (selon la jurisprudence précitée) n'ont donc pas été observées et, dans cette mesure, les griefs du recourant qui reproche à l'Office AI d'avoir statué sur la base d'avis médicaux non entièrement probants, sont fondés. Cela entraîne l'admission du recours. c) Il n’est pas opportun que le Tribunal cantonal ordonne lui- même une expertise judiciaire, ni qu’il suspende la cause le temps que I’Office AI complète l’instruction. Un renvoi à l'assureur social, lorsqu’il a pour but d’établir les faits, ne viole pas en soi les principes de simplicité et de rapidité de la procédure (ATF 9C_162/2007 du 3 avril 2008 consid. 2.3 et les références). En l'espèce, comme il incombe au SMR de compléter l'examen médical sur un point, le renvoi de l'affaire à l'Office AI est à l'évidence la solution la plus expédiente. d) A propos de l'appréciation des éléments médicaux figurant au dossier, il convient de préciser que la Cour de céans n'a pas à se prononcer au sujet du rapport du Dr P.________ du 10 février 2009 ni au sujet de l’avis du SMR du 12 mars suivant, en tant qu’ils traitent de l’état de santé du recourant postérieurement à la décision attaquée du 6 février 2008. Ces rapports ne sont donc pas des éléments pertinents pour l’examen de la conformité au droit fédéral de la décision attaquée (ATF 129 V 4 consid. 1.2). e) Cela étant, dans l'hypothèse où après un examen médical complet, l'Office AI parviendrait à la même conclusion, on peut d'ores et déjà relever ce qui suit. Dans son appréciation du cas, s’agissant de la capacité de travail exigible dans une activité adaptée, le Dr K.________ justifie la baisse de rendement, de l’ordre de 25 à 30 %, par les douleurs éprouvées par l’intéressé. Sans se contredire, il retient finalement le taux de 25 % pour définir la baisse de rendement pour une capacité de travail exigible de 100 % dans une activité adaptée.</w:t>
      </w:r>
    </w:p>
    <w:p>
      <w:r>
        <w:t>- 14 - Ce taux de 25 % est confirmé par les autres rapports médicaux et bilans de stage d’observation professionnelle figurant au dossier. Ainsi, le rapport médical du Dr V.________, médecin de l’assureur-accidents, du 6 décembre 2002 retient une capacité de travail de “2x3 heures par jour”, soit 75 % (6 heures pour une durée de travail quotidienne moyenne de 8 heures). Le bilan de stage auprès du Centre COPAI-ORIPH du 22 octobre 2003 conclut expressément à une capacité résiduelle de travail de l’ordre de 75 % de rendement, comme le reconnaît d’ailleurs le recourant; la Dresse R.________, médecin du Centre, admet quant à elle une capacité de travail avec une baisse de rendement de 25 à 30 pour-cent. Le bilan de stage du 4 février 2005 fait état d’un rendement de 75 % pour une activité à mi-temps. En revanche, les Drs P.________ et T.________, médecins traitants du recourant, évaluent différemment la capacité de travail, dont ils fixent le taux à 50 pour-cent. Force est néanmoins de constater que les rapports et certificats médicaux du Dr T.________ sont succincts et n’exposent pas les raisons l’amenant à conclure au taux précité; quant aux rapports du Dr P.________, bien que plus étayés, ils ne présentent pas de constatations médicales différentes des avis des médecins cités plus haut. f) En résumé, il se justifie d'admettre le recours pour le motif que l'on vient d'exposer, d'annuler la décision attaquée et de renvoyer l'affaire à l'intimé pour qu'il charge le SMR de procéder à un examen plus complet du problème rachidien, ou pour qu'il désigne éventuellement lui- même un expert médical. Sur la base des éventuels nouveaux éléments médicaux, l'évaluation du rendement ou de la capacité de travail dans une activité adaptée fera l'objet d'une nouvelle décision, qui pourra le cas échéant être contestée devant le Tribunal cantonal.</w:t>
      </w:r>
    </w:p>
    <w:p>
      <w:r>
        <w:rPr>
          <w:b/>
        </w:rPr>
        <w:t>E. 6</w:t>
      </w:r>
    </w:p>
    <w:p>
      <w:r>
        <w:t>Il n'y a pas lieu de percevoir des frais judiciaires. Obtenant en partie gain de cause, le recourant, assisté d'un avocat, a droit à des dépens, dont le montant doit être fixé, sans égard à la valeur litigieuse, d'après l'importance et la complexité du litige; cette</w:t>
      </w:r>
    </w:p>
    <w:p>
      <w:r>
        <w:t>- 15 - indemnité sera mise à la charge de l'OAI (art. 61 let. g LPGA; art. 55 al. 1 LPA-VD; art. 7 TFJAS [tarif du 2 décembre 2008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