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ZD08.003922 vom 15. Dezember 2010</w:t>
      </w:r>
    </w:p>
    <w:p>
      <w:r>
        <w:t>VD Tribunal cantonal, 2010-12-15, FR</w:t>
      </w:r>
    </w:p>
    <w:p>
      <w:r>
        <w:rPr>
          <w:b/>
        </w:rPr>
        <w:t xml:space="preserve">Quelle: </w:t>
      </w:r>
      <w:r>
        <w:t>https://mcp.opencaselaw.ch/entscheid/vd_gerichte_ZD08.003922</w:t>
      </w:r>
    </w:p>
    <w:p>
      <w:r>
        <w:t>FR: VD_GERICHTE ZD08.003922 du 15 décembre 2010</w:t>
      </w:r>
    </w:p>
    <w:p>
      <w:r>
        <w:t>IT: VD_GERICHTE ZD08.003922 del 15 dicembre 2010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étant admis, la décision entreprise annulée et le dossier renvoyé à l'OAI pour complément d'instruction et nouvelle décision</w:t>
      </w:r>
    </w:p>
    <w:p>
      <w:r>
        <w:t>- 23 - dans le sens des considérants, l'arrêt est rendu sans frais (art. 52 al. 1 LPA-VD). Obtenant gain de cause, le recourant, assisté d'un mandataire professionnel, a droit à des dépens, arrêtés à 2'000 fr. (art. 61 let. g LPGA,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