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ZD08.000533 vom 2. Dezember 2009</w:t>
      </w:r>
    </w:p>
    <w:p>
      <w:r>
        <w:t>VD Tribunal cantonal, 2009-12-02, FR</w:t>
      </w:r>
    </w:p>
    <w:p>
      <w:r>
        <w:rPr>
          <w:b/>
        </w:rPr>
        <w:t xml:space="preserve">Quelle: </w:t>
      </w:r>
      <w:r>
        <w:t>https://mcp.opencaselaw.ch/entscheid/vd_gerichte_ZD08.000533</w:t>
      </w:r>
    </w:p>
    <w:p>
      <w:r>
        <w:t>FR: VD_GERICHTE ZD08.000533 du 2 décembre 2009</w:t>
      </w:r>
    </w:p>
    <w:p>
      <w:r>
        <w:t>IT: VD_GERICHTE ZD08.000533 del 2 dicembre 2009</w:t>
      </w:r>
    </w:p>
    <w:p>
      <w:pPr>
        <w:pStyle w:val="Heading2"/>
      </w:pPr>
      <w:r>
        <w:t>Erwägungen</w:t>
      </w:r>
    </w:p>
    <w:p>
      <w:r>
        <w:rPr>
          <w:b/>
        </w:rPr>
        <w:t>E. 5</w:t>
      </w:r>
    </w:p>
    <w:p>
      <w:r>
        <w:t>Il convient encore d’examiner si la mesure médicale requise peut être ordonnée en application du principe général prévu par l’art. 12 LAI. Aux termes de l’art. 12 al. 1 LAI, l’assuré a droit aux mesures médicales qui n’ont pas pour objet le traitement de l’affection comme telle, mais sont directement nécessaires à la réadaptation professionnelle ou à la réadaptation en vue de l’accomplissement des travaux habituels, et sont de nature à améliorer de façon durable et importante sa capacité de gain ou l’accomplissement de ses travaux habituels, ou à les préserver d’une diminution notable. Le traitement de l’affection comme telle a généralement pour but de guérir ou de soulager un état pathologique labile. L’assurance- invalidité ne prend en principe à sa charge que les actes médicaux qui visent directement à supprimer ou à corriger des états défectueux ou des pertes de fonction stables ou du moins relativement stabilisés et dont on peut attendre un succès important et durable conformément à l’art. 12 aI. 1 LAI (ATF 120 V 277 c. 3a et les références citées; VSI 2000 p. 66 c. 1). Les assurés mineurs qui n’exercent pas d’activité lucrative sont réputés invalides lorsqu’ils présentent une atteinte à la santé physique ou mentale qui aura probablement pour conséquence une incapacité de gain (art. 5 aI. 2 LAI). Selon la jurisprudence, les mesures médicales appliquées à des assurés mineurs peuvent dès lors servir de manière prépondérante à la réadaptation professionnelle et être prises en charge par l’assurance-invalidité, quand bien même l’affection présente encore un caractère labile, si l’absence de telles mesures risque d’entraîner des séquelles ou un état défectueux stabilisé qui entraveraient la formation professionnelle ou la capacité de gain ou toutes les deux (VSI 2003 p. 104 c. 2 in fine; ATF 105 V 19 = RCC 1979 p. 556; VSI 2000 pp. 66 s. c. 1 précité). A cet égard, peu importe que les mesures ordonnées soient des mesures d’urgence (opération chirurgicale, par exemple) ou des</w:t>
      </w:r>
    </w:p>
    <w:p>
      <w:r>
        <w:t>- 9 - mesures d’une certaine durée, telles que la physiothérapie ou l’ergothérapie (RCC 1984 p. 525 c. 3). Mais des mesures médicales illimitées dans le temps en vue d’empêcher la survenance d’un état pathologique définitif ou d’en atténuer les conséquences n’ont pas un caractère prépondérant de mesures de réadaptation; elle constituent plutôt un traitement de l’affection comme telle, de sorte qu’elles ne sont pas à charge de l’assurance-invalidité (ATF 102 V 40 c. 1 pp. 42 s., 100 V 41 c. 2a pp. 43 s., 100 V 104 c. 2 pp. 107 s.; VSI 1999 p. 130; RCC 1984 pp. 524 s. c. 1 et 2; TFA I 64/01 du 20 février 2002). Le Tribunal fédéral a jugé que l’amélioration de la capacité de gain par une mesure médicale peut déjà être qualifiée d’importante, au sens de l’art. 12 LAI, lorsqu’il est possible de prévoir que l’assuré devenu majeur sera capable, grâce à la mesure préconisée, de gagner mensuellement quelques centaines de francs, le cas échéant en travaillant dans un atelier protégé (TF I 408/06 du 15 mars 2007 c. 4.2 in fine et la jurisprudence citée). En l’espèce, selon les médecins, le but de l’ergothérapie est de traiter la maladresse motrice, les difficultés visuo-spatiales, la gêne dans les apprentissages de l’écriture, les activités scolaires nécessitant une motricité fine et une autonomie. Il s’agit aussi d’améliorer l'endurance et la vitesse d’exécution du patient, ce qui devrait aussi contribuer à garantir de meilleurs apprentissages scolaires. En outre, le Dr K.________ se limite à mentionner que l’indication à un traitement ergothérapeutique devrait être réévaluée en fonction des objectifs atteints et de l’évolution. Au regard de ce qui précède, il apparaît que les conclusions des spécialistes ne permettent pas de déterminer la durée de la mesure médicale requise, celle-là pouvant avoir des répercussions sur la prise en charge de celles-ci (cf. ATF 102 V 40 c. 1 pp. 41 ss), ni de se prononcer sur l’effet du traitement dont l’importance doit atteindre un degré suffisamment élevé dans un laps de temps donné (ATF 98 V 205 c. 4b pp. 211 s.) ou sur le caractère durable d’un tel traitement dont on peut attendre, à un degré de vraisemblance suffisant, que le succès envisagé</w:t>
      </w:r>
    </w:p>
    <w:p>
      <w:r>
        <w:t>- 10 - se maintienne pendant une partie importante de la vie active future (ATF 104 V 79 c. 3b p. 83 et les références). L'instruction doit dès lors être complétée sur ces points.</w:t>
      </w:r>
    </w:p>
    <w:p>
      <w:r>
        <w:rPr>
          <w:b/>
        </w:rPr>
        <w:t>E. 6</w:t>
      </w:r>
    </w:p>
    <w:p>
      <w:r>
        <w:t>En conséquence, il convient d'admettre le recours, d'annuler la décision attaquée et de renvoyer le dossier de la cause à l’OAI afin qu'il complète l’instruction sur le plan médical dans le sens exposé ci-dessus puis rende une nouvelle décision.</w:t>
      </w:r>
    </w:p>
    <w:p>
      <w:r>
        <w:rPr>
          <w:b/>
        </w:rPr>
        <w:t>E. 7</w:t>
      </w:r>
    </w:p>
    <w:p>
      <w:r>
        <w:t>Il n'y a pas lieu de percevoir de frais judiciaires (art. 52 al. 1 LPA-VD). Par ailleurs, il n'y a pas lieu d'allouer de dépens au recourant, dès lors que celui-ci n'est pas représenté par un avocat ou un autre mandataire juridique, mais par son père.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