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ZD07.033090 vom 1. November 2010</w:t>
      </w:r>
    </w:p>
    <w:p>
      <w:r>
        <w:t>VD Tribunal cantonal, 2010-11-01, FR</w:t>
      </w:r>
    </w:p>
    <w:p>
      <w:r>
        <w:rPr>
          <w:b/>
        </w:rPr>
        <w:t xml:space="preserve">Quelle: </w:t>
      </w:r>
      <w:r>
        <w:t>https://mcp.opencaselaw.ch/entscheid/vd_gerichte_ZD07.033090</w:t>
      </w:r>
    </w:p>
    <w:p>
      <w:r>
        <w:t>FR: VD_GERICHTE ZD07.033090 du 1 novembre 2010</w:t>
      </w:r>
    </w:p>
    <w:p>
      <w:r>
        <w:t>IT: VD_GERICHTE ZD07.033090 del 1 novembre 2010</w:t>
      </w:r>
    </w:p>
    <w:p>
      <w:pPr>
        <w:pStyle w:val="Heading2"/>
      </w:pPr>
      <w:r>
        <w:t>Erwägungen</w:t>
      </w:r>
    </w:p>
    <w:p>
      <w:r>
        <w:rPr>
          <w:b/>
        </w:rPr>
        <w:t>E. 29</w:t>
      </w:r>
    </w:p>
    <w:p>
      <w:r>
        <w:t>mars 2010 de la Dresse W.________, qui mentionne une aggravation de la hernie discale médiane L3-L4 et la progression de lésions aux deux autres niveaux L4-L5, L5-S1. Par courrier du 10 mai 2010, l’office intimé indique qu'il considère qu'une nouvelle expertise ne se justifie pas, au motif que le juge doit apprécier la légalité des décisions d’après l’état de fait existant au moment où la décision litigieuse est rendue et qu'en l'espèce, les éléments avancés par le recourant sont manifestement survenus après la décision attaquée. E n d r o i t :</w:t>
      </w:r>
    </w:p>
    <w:p>
      <w:r>
        <w:t>- 7 - 1.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contre une décision sur opposition rendue conformément à la procédure applicable avant l’introduction de la procédure de préavis (cf. art. 57a et 69 al. 1 let. a LAI), est donc recevable. b) La loi cantonale vaudoise du 28 octobre 2008 sur la procédure administrative (LPA-VD; RSV 173.36), entrée en vigueur le 1er janvier 2009, s'applique aux recours et contestations par voie d'action dans le domaine des assurances sociales (art. 2 al. 1 let. c LPA-VD). A teneur de la disposition transitoire de l’art. 117 al. 1 LPA-VD,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2.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- 8 - b) A teneur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vertu de l'art. 28 al. 1 LAI, dans sa teneur en vigueur depuis le 1er janvier 2004 jusqu'au 31 décembre 2007, l'assuré a droit à un quart de rente s'il est invalide à 40% au moins, à une demi-rente s'il est invalide à 50% au moins, aux trois-quarts d'une rente s'il est invalide à 60% au moins et à une rente entière s'il est invalide à 70% au moins. Dès le 1er janvier 2008, l'art. 28 al. 2 LAI reprend le même échelonnement.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TFA I 274/05 du 21 mars 2006, consid. 1.2). d)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w:t>
      </w:r>
    </w:p>
    <w:p>
      <w:r>
        <w:t>- 9 -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3b/bb et cc).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 15 p. 43). Il n'en va différemment que si ces médecins traitants font état d'éléments objectifs ayant été ignorés dans le cadre de l'expertise et qui sont suffisamment pertinents pour remettre en cause les conclusions de l'expertise (TF 8C_14/2009 du 8 avril 2009, consid. 3). 3. En l'espèce, on examinera si le recourant présente, en raison d'une atteinte à la santé, une diminution de sa capacité de travail. 4. a) Sur le plan psychiatrique, on retiendra que, suite à l'expertise ordonnée par la cour de céans, les parties ont admis, à juste</w:t>
      </w:r>
    </w:p>
    <w:p>
      <w:r>
        <w:t>- 10 - titre, les conclusions de l'expert psychiatre, qui retient une diminution de la capacité de travail de 25% dans toute activité (cf. let. E supra). b) Sur le plan somatique, il n'est pas contesté que le recourant souffre de lombosciatalgie gauche chronique ayant des répercussions sur sa capacité de travail dans son activité d'employé viticole. Le SMR estime toutefois que dans une activité adaptée avec possibilité de changer de position 2x/h, sans soulèvement régulier de charge de plus de 5kg, sans port régulier de charge de plus de 12 kg, sans travail en porte-à-faux statique prolongé du tronc, la capacité de travail reste entière. Le recourant invoque, de son côté, une aggravation de son état de santé depuis le mois de juin 2008, attestée par divers rapports médicaux qu'il produit le 7 avril 2010 et requiert qu'une expertise complémentaire soit ordonnée sur le plan rhumatologique pour évaluer sa capacité de travail résiduelle.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(cf. ATF 131 V 242 consid. 2.1 p. 243, 121 V 362 consid. 1b p. 366; arrêt 9C_537/2009 du 1er mars 2010 consid. 3.2). Même s'il a été rendu postérieurement à la date déterminante, un rapport médical doit cependant être pris en considération, dans la mesure où il a trait à la situation antérieure à cette date (cf. ATF 99 V 98 consid. 4 p. 102 et les arrêts cités). aa) En l'espèce, on relève en premier lieu que le diagnostic de hernie discale foraminale gauche L4-L5 sans contrainte radiculaire, qui avait été posé par la Dresse W.________ le 25 novembre 2004, n'avait pas été retenu par les médecins du SMR dans leur rapport du 15 mai 2006. Ceux-ci avaient en effet indiqué qu'au vu des examens radiologiques, ils avaient écarté ce diagnostic au profit de protusions L4-L5, tout comme les Drs T.________ et Q.________. Cela étant, la découverte à l'IRM du 2 juin 2008 d'une hernie discale médiane L3-L4 comprimant le sac thécal et</w:t>
      </w:r>
    </w:p>
    <w:p>
      <w:r>
        <w:t>- 11 - d'une hernie discale foraminale droite en L5-S1, ainsi que les aggravations ultérieures mentionnées par la Dresse W.________ dans son rapport du 29 mars 2010, sont, sans nul doute possible, postérieures à la décision attaquée datée du 3 octobre 2007. Il en résulte qu'en application de la jurisprudence du Tribunal fédéral précitée, ces nouveaux éléments ne peuvent pas être pris en compte dans la présente procédure. bb) On retiendra par conséquent la situation sur le plan somatique prévalant au 3 octobre 2007. Jusqu'à cette date, l'intéressé a été examiné par divers spécialistes, dont les Drs T.________, N.________ et Q.________, qui ont diagnostiqué des lombosciatalgies gauches chroniques, mais qui ont précisé ne pas avoir trouvé de corrélation entre le tableau clinique présenté et les plaintes bruyantes formulées par ce dernier. Les médecins du SMR ont retenu le même diagnostic limitant la capacité de travail du recourant dans son activité d'employé viticole, mais pas dans une activité adaptée aux limitations fonctionnelles. A cet égard, on constate que seule la Dresse W.________ a considéré que la reprise d'une activité était difficilement envisageable, mais qu'elle a toutefois précisé que c'était l'attitude prostrée du patient qui rendait difficile une reprise d'activité. Quant aux autres rapports médicaux produits par le recourant jusqu'à la date de la décision querellée, ils émanent de psychiatres et psychologues et ne sont donc pas déterminants pour juger de l'atteinte à la santé sur le pan somatique. c) Au vu de ce qui précède, on retiendra à l'instar du SMR que le recourant dispose sur le plan somatique d'une pleine capacité de travail dans une activité adaptée. Eu égard aux limitations sur le plan psychiatrique, la capacité travail résiduelle est ainsi de 75% dans toute activité adaptée. 5. En ce qui concerne le préjudice économique, les parties admettent selon la méthode de comparaison des revenus, un degré</w:t>
      </w:r>
    </w:p>
    <w:p>
      <w:r>
        <w:t>- 12 - d'invalidité de 29%, n'ouvrant pas le droit à une rente, ce qui entraîne le rejet de la conclusion par laquelle le recourant sollicite une telle rente. 6. Enfin et comme vu précédemment (cf. consid. 4 supra), il n’y a pas lieu de compléter l’instruction, de sorte que la requête tendant à la mise en oeuvre d'une expertise complémentaire doit également être rejetée. 7. Le degré d'invalidité étant de 29%, le droit à des mesures d'ordre professionnel est ouvert. Il y a dès lors lieu de donner suite à la demande du recourant tendant à ce que la cause soit renvoyée à l’office intimé pour qu'il statue sur cette question, sans toutefois qu'il soit nécessaire d'attendre l'issue de celle-ci pour trancher la question de la rente (cf. 9C_794/2007, arrêt du 27 octobre 2008). 8. Le recours est donc partiellement admis et la décision attaquée annulée, le dossier étant renvoyé à l'office intimé pour qu'il statue dans le sens des considérants qui précèdent. Le recourant, qui obtient partiellement gain de cause, et qui est assisté d'un mandataire professionnel, a droit à des dépens réduits, dont le montant doit être déterminé, sans égard à la valeur litigieuse, d'après l'importance et la complexité du litige (art. 61 let. g LPGA et 56 al. 2 LPA-VD; ATF 135 V 473 consid. 2.1). En l'espèce, il convient d'arrêter le montant des dépens à 1'500 fr. et de les mettre à la charge de l’OAI, qui succombe (art. 55 al. 2 LPA-VD). Le présent arrêt doit être rendu sans frais (art.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