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ZD07.012899 vom 29. September 2010</w:t>
      </w:r>
    </w:p>
    <w:p>
      <w:r>
        <w:t>VD Tribunal cantonal, 2010-09-29, FR</w:t>
      </w:r>
    </w:p>
    <w:p>
      <w:r>
        <w:rPr>
          <w:b/>
        </w:rPr>
        <w:t xml:space="preserve">Quelle: </w:t>
      </w:r>
      <w:r>
        <w:t>https://mcp.opencaselaw.ch/entscheid/vd_gerichte_ZD07.012899</w:t>
      </w:r>
    </w:p>
    <w:p>
      <w:r>
        <w:t>FR: VD_GERICHTE ZD07.012899 du 29 septembre 2010</w:t>
      </w:r>
    </w:p>
    <w:p>
      <w:r>
        <w:t>IT: VD_GERICHTE ZD07.012899 del 29 settembre 2010</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w:t>
      </w:r>
    </w:p>
    <w:p>
      <w:r>
        <w:t>- 16 - consid. 2c et les références). Le juge n'a ainsi pas l'obligation d'exposer et de discuter tous les faits, moyens de preuve et griefs invoqués par les parties, mais peut au contraire se limiter à l'examen des questions décisives pour l'issue du litige (ATF 134 I 83 consid. 4.1; TF 9C_831/2009 du 12 août 2010, consid. 3.1). b) Est litigieux en l'espèce, le droit du recourant à une rente d'invalidité, singulièrement la capacité de travail entière retenue par l'autorité intimée dans une activité réputée adaptée aux atteintes fonctionnelles du recourant.</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 rente, un degré d'invalidité de 60 % au moins donne droit à un trois-quarts de rente et un degré d'invalidité de 70 % au moins donne droit à une rente entière.</w:t>
      </w:r>
    </w:p>
    <w:p>
      <w:r>
        <w:t>- 17 -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w:t>
      </w:r>
    </w:p>
    <w:p>
      <w:r>
        <w:t>- 18 -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w:t>
      </w:r>
    </w:p>
    <w:p>
      <w:r>
        <w:t>- 19 - c) Selon la jurisprudence constante, le juge des assurances sociales apprécie la légalité des décisions attaquées, en règle générale, d'après l'état de fait existant au moment où la décision litigieuse a été rendue (ATF 121 V 362 consid. 1b et 116 V 246 consid. 1a et les références citées; TF 9C_803/2009 du 25 mars 2010, consid. 5.2; TFA I 266/2006 du 19 juin 2006, consid. 4.2). Les faits survenus postérieurement, et qui ont modifié cette situation, doivent normalement faire l'objet d'une nouvelle décision administrative (ATF 121 V 362 consid. 1b et 117 V 287 consid. 4; TF 9C 537/2009 du 1er mars 2010, consid. 3.2 et 9C_81/2007 du 21 février 2008, consid. 2.4).</w:t>
      </w:r>
    </w:p>
    <w:p>
      <w:r>
        <w:rPr>
          <w:b/>
        </w:rPr>
        <w:t>E. 4</w:t>
      </w:r>
    </w:p>
    <w:p>
      <w:r>
        <w:t>a) En l'espèce, il convient d'emblée de relever que la décision querellée, qui date du 19 mars 2007, a été rendue moins de six mois après le dépôt, par l'expert, de son rapport en date du 24 octobre 2006. Cela étant, on ne saurait considérer que dite expertise n'était pas d'une actualité suffisante pour permettre à l'OAI de statuer sur la situation médicale du recourant et rendre la décision litigieuse. Reste à déterminer si l'expertise en question remplit les critères jurisprudentiels requis en matière de force probante. L'expertise sur laquelle le SMR et partant l'OAI se fondent pour retenir une pleine capacité de travail du recourant dans une activité adaptée à ses limitations fonctionnelles a été effectuée par un médecin indépendant de l'intimé, soit le Dr C._________, spécialiste FMH en médecine interne. Au titre de diagnostics ayant des répercussions sur la capacité de travail du recourant, il retient une gonarthrose varisante droite et des lombalgies chroniques non spécifiques. Il précise que, si ces affections de l'appareil locomoteur ne sont quasiment plus compatibles avec l'activité de serrurier-soudeur précédemment exercée par le recourant, l'exercice à 100 % d'une activité adaptée aux limitations fonctionnelles résultant de ces troubles (prohibition du port de charges répété de plus de 10 à 15 kg, de déplacements en terrain accidenté, de l'utilisation d'échelles, de travaux en zone basse nécessitant de fréquents accroupissements et relèvements) est toutefois raisonnablement exigible.</w:t>
      </w:r>
    </w:p>
    <w:p>
      <w:r>
        <w:t>- 20 - Quant aux autres plaintes du recourant associées aux diagnostics sans répercussion sur la capacité de travail retenus par l'expert, celui-ci explique que soit elles n'ont pas de substrat organique (épigastralgies), soit pas de limitation fonctionnelle significative (pathologies pulmonaires, syndrome métabolique, dyslipidémie, hypertension artérielle traitée et diabète de type II traité à partir de 2005). Cela étant, les conclusions du rapport d'expertise, tant en ce qui concerne les atteintes à la santé invalidantes que présente le recourant mais aussi leurs répercussions sur la capacité de travail et l'activité qui peut encore raisonnablement être exigée de sa part, sont claires et bien motivées. Elles ont pour fondement non seulement l'examen clinique du recourant, qui a eu lieu le 25 septembre 2006, sur la pleine connaissance du dossier de l'intéressé (anamnèse et examen des rapports médicaux le concernant), mais aussi sur la description circonstanciée du contexte médical ainsi que sur l'appréciation de la situation médicale du recourant. Dans cette mesure, le rapport d'expertise répond aux critères jurisprudentiels en matière de force probante. Ceci dit, il convient de savoir si, comme le soutient le recourant, d'autres éléments médicaux sont susceptibles de remettre en question la pertinence de ses conclusions. Or, si on se réfère aux rapports émanant des médecins traitants du recourant que celui-ci a produits durant la procédure de recours, force est de constater que, soit ils ne sont pas pertinents dans la mesure où ils font état de pathologies qui n'existaient pas au moment où la décision litigieuse a été rendue, soit ils rejoignent les conclusions de l'expertise en ce qui concerne à tout le moins les limitations fonctionnelles et la capacité de travail résiduelle. Ainsi, le rapport médical établi le 1er décembre 2009 par le Dr O.________, qui fait état d'une coxarthrose bilatérale symptomatique pour laquelle une prothèse totale de la hanche est envisagée, d'abord à droite puis à gauche et d'un syndrome mixte obstructif et restrictif de degré sévère diagnostiqué en mars 2009, précise qu'il ne dispose d'aucun élément lui permettant de contester le rapport d'expertise, qui, selon lui, reflète bien la situation du recourant au moment où l'expertise a été effectuée. Pour le surplus, si, en se référant aux problèmes orthopédiques et</w:t>
      </w:r>
    </w:p>
    <w:p>
      <w:r>
        <w:t>- 21 - pneumologiques du recourant, le Dr O.________ estime que la capacité de travail est de 0 % dans l'activité de serrurier-soudeur, il ne donne pas d'appréciation quant à la capacité de travail dans une activité adaptée, mais se contente d'indiquer les limitations fonctionnelles (prohibition de port de charges supérieures à 2-3 kg, de marche de plus de 20 minutes uniquement en terrain plat et possibilité de changer de position toutes les 10 minutes environ). Le Dr V.________, qui évoque lui aussi le diagnostic de coxarthrose symptomatique à droite et la mise en place d'une prothèse totale de la hanche en 2010 (rapport du 4 février 2010), relève qu'il lui est difficile de se prononcer quant aux capacités fonctionnelles ultérieures de son patient sur le plan orthopédique, tout en indiquant partager l'avis de l'expert en ce qui concerne la description des limitations fonctionnelles. Quant au diagnostic de syndrome mixte obstructif et restrictif de degré sévère sur bronchopneumopathie chronique retenu par le Dr???.________ dans un rapport médical du 5 octobre 2009, il apparaît que la seule limitation fonctionnelle qui en découle consiste à éviter les travaux de force, limitation déjà prise en compte eu égard au problème de l'appareil locomoteur. Enfin, la situation est similaire en ce qui concerne la glomérulosclérose segmentaire et focale que présente le recourant, puisque le Dr R.________ précise qu'en l'absence d'insuffisance rénale, il n'existe aucune contre-indication sur le plan néphrologique à une activité professionnelle adaptée à plein temps. Cela étant, force est de constater que les avis des médecins traitants du recourant non seulement ne sont pas susceptibles de remettre en cause les conclusions de l'expertise, mais encore les rejoignent pour la question des limitations fonctionnelles. En conclusion, aucun motif ne justifie que l'on s'écarte des motifs et des conclusions de l'expertise du Dr C._________ du 25 octobre 2006, lesquels ont été repris par la décision litigieuse. Le dossier étant complet sur le plan médical, il n'y a pas lieu de mettre en œuvre une expertise pluridisciplinaire, comme le requiert le recourant. b) S’agissant pour le surplus du calcul du préjudice économique, non contesté par le recourant, la comparaison des revenus telle qu’effectuée par l’OAI n'apparaît pas critiquable dans son résultat et doit</w:t>
      </w:r>
    </w:p>
    <w:p>
      <w:r>
        <w:t>- 22 - donc être confirmée, de sorte que le degré d'invalidité de 10 %, nettement inférieur au minimum de 40% ouvrant le droit à bénéficier d'un quart de rente d'invalidité (cf. art. 28 al. 2 LAI), doit être retenu.</w:t>
      </w:r>
    </w:p>
    <w:p>
      <w:r>
        <w:rPr>
          <w:b/>
        </w:rPr>
        <w:t>E. 5</w:t>
      </w:r>
    </w:p>
    <w:p>
      <w:r>
        <w:t>a) Ainsi, le recours sera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