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ZD06.031193 vom 19. Januar 2010</w:t>
      </w:r>
    </w:p>
    <w:p>
      <w:r>
        <w:t>VD Tribunal cantonal, 2010-01-19, FR</w:t>
      </w:r>
    </w:p>
    <w:p>
      <w:r>
        <w:rPr>
          <w:b/>
        </w:rPr>
        <w:t xml:space="preserve">Quelle: </w:t>
      </w:r>
      <w:r>
        <w:t>https://mcp.opencaselaw.ch/entscheid/vd_gerichte_ZD06.031193</w:t>
      </w:r>
    </w:p>
    <w:p>
      <w:r>
        <w:t>FR: VD_GERICHTE ZD06.031193 du 19 janvier 2010</w:t>
      </w:r>
    </w:p>
    <w:p>
      <w:r>
        <w:t>IT: VD_GERICHTE ZD06.031193 del 19 gennaio 2010</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Si le délai doit être communiqué aux parties, il commence à courir le lendemain de la notification (art. 38 al. 2 LPGA, applicable par renvoi de l'art. 60 al. 2 LPGA). En l'espèce, le recours interjeté le 27 octobre 2006 contre la décision du 25 septembre 2006, qui a été notifiée le 26 septembre 2006 au plus tôt, l'a été en temps utile auprès du tribunal compétent. Pour le surplus déposé dans les formes prévues par la loi, le recours est donc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w:t>
      </w:r>
    </w:p>
    <w:p>
      <w:r>
        <w:t>- 7 -</w:t>
      </w:r>
    </w:p>
    <w:p>
      <w:r>
        <w:rPr>
          <w:b/>
        </w:rPr>
        <w:t>E. 2</w:t>
      </w:r>
    </w:p>
    <w:p>
      <w:r>
        <w:t>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 au moins donne droit à un quart de rente (soit au quart d'une rente entière), un degré d'invalidité de 50 % au moins donne droit à une demi-rente, un degré d'invalidité de 60 % au moins donne droit à un trois-quarts de rente et un degré d'invalidité de 70 % au moins donne droit à une rente entière.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3c, 105 V 158 consid. 1; RCC 1980 p. 263; Pratique VSI 2002 p.64; TF I 274/05 du 21 mars 2006, consid. 1.1; TF I 562/06 du 25 juillet 2007 consid. 2.1 et les références citées).</w:t>
      </w:r>
    </w:p>
    <w:p>
      <w:r>
        <w:t>- 8 -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w:t>
      </w:r>
    </w:p>
    <w:p>
      <w:r>
        <w:rPr>
          <w:b/>
        </w:rPr>
        <w:t>E. 2.1</w:t>
      </w:r>
    </w:p>
    <w:p>
      <w:r>
        <w:t>Si oui, par quelles mesures (p. ex. mesures médicales. moyens auxiliaires, adaptation du poste travail)? Non. Les mesures médicales n’ont pas permis de préserver la capacité de travail. D’autres mesures sont également vouées à l’échec. […]</w:t>
      </w:r>
    </w:p>
    <w:p>
      <w:r>
        <w:rPr>
          <w:b/>
        </w:rPr>
        <w:t>E. 2.2</w:t>
      </w:r>
    </w:p>
    <w:p>
      <w:r>
        <w:t>Description précise de la capacité résiduelle de travail Il est difficile de décrire la capacité résiduelle de travail de cette expertisée. Du point de vue psychiatrique, il est vraisemblable que l'expertisée pourrait être capable de travailler dans une activité à temps partiel, de l’ordre de 25% à 30%, sans responsabilité importante et sans exigences de rendement importantes. Elle n’est vraisemblablement plus capable d’exercer une activité de secrétaire ou d’employée de commerce.</w:t>
      </w:r>
    </w:p>
    <w:p>
      <w:r>
        <w:rPr>
          <w:b/>
        </w:rPr>
        <w:t>E. 2.3</w:t>
      </w:r>
    </w:p>
    <w:p>
      <w:r>
        <w:t>L’activité exercée jusqu’ici est-elle encore exigible? Si oui, dans quelle mesure (heures par jour)? L’activité de secrétaire ou d’employée de commerce n’est plus exigible aujourd’hui en raison de l’atteinte à la santé psychique dont souffre l'expertisée. […]</w:t>
      </w:r>
    </w:p>
    <w:p>
      <w:r>
        <w:rPr>
          <w:b/>
        </w:rPr>
        <w:t>E. 2.5</w:t>
      </w:r>
    </w:p>
    <w:p>
      <w:r>
        <w:t>Depuis quand, du point de vue médical, y a-t-il une incapacité de travail de 20% au moins? L’incapacité de travail a débuté en janvier 2004. Il faut vraisemblablement considérer que dès ce moment-là l’incapacité de travail a été totale.</w:t>
      </w:r>
    </w:p>
    <w:p>
      <w:r>
        <w:rPr>
          <w:b/>
        </w:rPr>
        <w:t>E. 2.6</w:t>
      </w:r>
    </w:p>
    <w:p>
      <w:r>
        <w:t>Comment le degré d’incapacité de travail a-t-il évolué depuis lors? Depuis lors, la capacité de travail n’a pas vraiment évolué même si l’état de santé psychique s’est légèrement amélioré.</w:t>
      </w:r>
    </w:p>
    <w:p>
      <w:r>
        <w:rPr>
          <w:b/>
        </w:rPr>
        <w:t>E. 3</w:t>
      </w:r>
    </w:p>
    <w:p>
      <w:r>
        <w:t>D’autres activités sont-elles exigibles de la part de l’expertisée?</w:t>
      </w:r>
    </w:p>
    <w:p>
      <w:r>
        <w:rPr>
          <w:b/>
        </w:rPr>
        <w:t>E. 3.1</w:t>
      </w:r>
    </w:p>
    <w:p>
      <w:r>
        <w:t>Si oui, à quels critères médicaux le lieu de travail doit-il satisfaire, et de quoi faut-il tenir compte dans le cadre d’une autre activité? L’expertisée ne doit pas exercer de responsabilité et les exigences de rendement d’une activité professionnelle doivent être adaptées à l’état de santé psychique de l’expertisée.</w:t>
      </w:r>
    </w:p>
    <w:p>
      <w:r>
        <w:rPr>
          <w:b/>
        </w:rPr>
        <w:t>E. 3.2</w:t>
      </w:r>
    </w:p>
    <w:p>
      <w:r>
        <w:t>Dans quelle mesure l’activité adaptée à l’invalidité peut-elle être exercée (p.ex. heures par jour)? Cette expertisée pourrait vraisemblablement travailler de 25% à 30% au plus dans un environnement protégé.</w:t>
      </w:r>
    </w:p>
    <w:p>
      <w:r>
        <w:rPr>
          <w:b/>
        </w:rPr>
        <w:t>E. 3.3</w:t>
      </w:r>
    </w:p>
    <w:p>
      <w:r>
        <w:t>Y a-t-il une diminution de rendement? Si oui, dans quelle mesure? Le rendement dans une telle activité est difficile à estimer. Il est vraisemblable qu’il pourrait être dans la norme". b) La Cour est en présence de deux rapports médicaux contradictoires. Le premier - établi par le SMR - estime qu'il n'y a pas de trouble de la personnalité sévère équivalant à une maladie mentale, l'assurée ayant bien fonctionné pendant la plus grande partie de la vie professionnelle. Le second - à savoir l'expertise du Dr K.________ - retient un grave trouble de la personnalité qui n'est pas perceptible de manière immédiate mais qui ressort clairement de son anamnèse (expertise, p. 8 avant-dernier paragraphe). Le Dr K.________ ajoute que ce trouble a</w:t>
      </w:r>
    </w:p>
    <w:p>
      <w:r>
        <w:t>- 11 - conduit à un épuisement des capacités d'adaptation de l'intéressée à partir de janvier 2004, et que depuis lors, celle-ci n'est plus à même de travailler, dans quelque activité que ce soit dans le monde économique, sauf dans un environnement protégé tel que celui qu'elle connaît aujourd'hui (p. 8 dernier paragraphe). Au vu du dossier, on doit retenir que l'expertise du 22 juin 2009 du Dr K.________, psychiatre FMH et spécialiste reconnu, a une valeur probante supérieure au rapport du 4 juillet 2006 du Dr T.________ du SMR établi à la suite de l'examen psychiatrique du 15 mars 2006. En premier lieu, le Dr K.________ a procédé à 3 entretiens de près d'une heure chacun, comme le relève du reste le SMR dans son avis médical du 14 août 2009. L'expertise contient ensuite une anamnèse professionnelle et sociale, longue de plus de deux pages, décrit de façon précise l'évolution de la maladie ainsi que les résultats des thérapies entreprises, contient un status clinique (status psychique) précis et détaillé de même qu'un diagnostic - de personnalité paranoïaque - au sens de la CIM-10. Enfin, et surtout, l'expertise du Dr K.________, dans sa partie "appréciation du cas et pronostic" dresse une motivation, longue de trois pages, convaincante et dûment étayée de l'état de santé de l'assurée, spécifiquement de sa capacité de travail, en relation avec l'anamnèse décrite par cet expert. Les réponses aux questions, précises et exemptes de contradictions, font également partie de l'expertise. On doit aussi observer que les conclusions du Dr K.________ correspondent à celles du Dr Q.________, médecin adjoint au département universitaire de psychiatrie pour adultes. En effet, dans son rapport du 25 février 2005, ce praticien a retenu le diagnostic de personnalité à traits paranoïaques - qui est très proche, sinon identique, à celui de personnalité paranoïaque posé par le Dr K.________ - et a indiqué qu'il était difficilement envisageable de penser que l'assurée puisse un jour reprendre une activité professionnelle au sein du R.________, ajoutant qu'il lui serait extrêmement difficile de faire face à une réadaptation professionnelle. On retiendra donc que l'avis du Dr K.________ s'agissant de l'état de santé de l'assurée, y compris l'incidence sur la capacité de travail, est corroboré par</w:t>
      </w:r>
    </w:p>
    <w:p>
      <w:r>
        <w:t>- 12 - celui du Dr Q.________, également psychiatre. Pour sa part, même si elle n'est pas psychiatre, la Dresse H.________ a donné aussi un avis défavorable sur la possibilité de reprendre une activité professionnelle et a relevé des traits paranoïdes, une rigidité de la pensée et une tendance interprétative (rapport du 25.03.2009). Quant à l'examen du Dr T.________, lui aussi psychiatre FMH, il contient certes une anamnèse complète - notamment familiale, personnelle, professionnelle, psychosociale et psychiatrique - et un status psychiatrique. Toutefois, l'appréciation du cas est moins convaincante et surtout moins fouillée que celle du Dr K.________, donnant de surcroît l'impression que la gravité est faible, alors que l'anamnèse comparée des deux documents montre que les conflits professionnels auxquels l'intéressée a été confrontée ne sont pas simplement à mettre sur le compte de difficultés passagères, mais révèlent un trouble grave comme le démontre l'expert K.________, certes mandaté par l'intéressée elle- même. En particulier, l'assertion du Dr T.________ selon laquelle "l’assurée présente certains traits d’un trouble de la personnalité, mais qui n’ont pas de valeur de maladie psychiatrique, l’assurée ayant bien fonctionné pendant la plus grande partie de sa vie professionnelle", peu précise, manque de conviction et semble surtout passer sous silence l'importance du vécu de l'assurée ressortant de l'anamnèse, en particulier ses difficultés professionnelles au sein du R.________. Par ailleurs, le rapport du 14 août 2009 du SMR, bien que cosigné par le Dr O.________, psychiatre FMH au SMR, n'est pas de nature à remettre en question ce qui précède. On relèvera que, dans son expertise du 22 juin 2009, le Dr K.________ a mis en exergue, aussi bien dans l'anamnèse que dans l'appréciation du cas et pronostic, des troubles de la personnalité, le caractère répétitif de l'exclusion, un sentiment de rejet et des difficultés dans les relations interpersonnelles, indiquant que ces troubles existaient également en partie dans l'enfance et l'adolescence de l'expertisée (p. 6). Le Dr T.________ n'a pour sa part pas suffisamment tenu compte de ces éléments. En outre, le fait que l'assurée ait présenté les diagnostics de troubles de l'adaptation en 1993 et 2004 (Dr T.________,</w:t>
      </w:r>
    </w:p>
    <w:p>
      <w:r>
        <w:t>- 13 - 04.07.2006, p. 5) ne saurait en soi justifier qu'elle n'ait plus pu présenter, par la suite, de périodes d'incapacité de travail durable. Enfin, lorsque le SMR soutient que l'avis du Dr K.________ est "inimaginable" dès lors que ce praticien ne retient pas une incapacité de travail totale, on relèvera que, dans certains cas, le diagnostic de personnalité paranoïaque - retenu par cet expert - peut justifier une incapacité de travail partielle (par exemple TF 9C_183/2007 du 3 avril 2008; TF 9C_303/2007 du 1er février 2008 et TF I 645/04 du 26 septembre 2005). Au demeurant, le Dr K.________ a mis en évidence un sentiment de solitude et d'incapacité de partager sa vie, relevant la pauvreté des relations sociales et soupçonnant à cet égard un vide abyssal (expertise du 22.06.2009, p. 7), de sorte que les troubles psychiques de l'assurée ont également, de l'avis de l'expert, une répercussion dans le domaine relationnel non spécifiquement professionnel. c) Dès lors, les conclusions du Dr K.________ emportent la conviction de la Cour et doivent être retenues. A l'instar de l'expert, on retiendra que l'assurée présente une capacité de travail résiduelle de 25 % à 30 % sans responsabilité importante et sans exigences de rendement importantes, dans un environnement protégé. A relever que, de l'avis de l'expert, l'intéressée n'est vraisemblablement plus capable d'exercer une activité de secrétaire ou d'employée de commerce (p. 9 et 11).</w:t>
      </w:r>
    </w:p>
    <w:p>
      <w:r>
        <w:rPr>
          <w:b/>
        </w:rPr>
        <w:t>E. 4</w:t>
      </w:r>
    </w:p>
    <w:p>
      <w:r>
        <w:t>a) Reste à déterminer le droit à la rente, compte tenu du degré d'invalidité. La Dresse H.________ ayant retenu une incapacité de travail de 100 % à compter du 13 janvier 2004, on retiendra que l'assurée peut prétendre à une rente à partir de janvier 2005, compte tenu du délai de carence d'une année (art. 28 LAI). Le questionnaire pour l'employeur du 23 février 2005 a retenu un revenu sans invalidité de 110'251 fr. 30 depuis janvier 2004. Selon l'enquête suisse sur la structure des salaires (ESS), les femmes effectuant des activités simples et répétitives pouvaient prétendre en 2004 à un revenu de 3'893 fr. par mois ou 46'716 fr. par an (TF 9C_536/2008 du 14 novembre 2008 consid. 3.2); compte tenu de la durée hebdomadaire de travail en 2004 (41.6h) et d'un taux de travail maximal de 30 %, on retiendra un revenu d'invalide de 14'575 fr. 40. La</w:t>
      </w:r>
    </w:p>
    <w:p>
      <w:r>
        <w:t>- 14 - comparaison des revenus conduit à un degré d'invalidité de 86.77 %, ce qui donne droit à une rente entière (art. 28 LAI). Au demeurant, la capacité de gain ne peut être exercée que dans un environnement protégé et sera donc négligeable. b) La recourante a donc droit à une rente entière à compter du 1er janvier 2005, ce qui conduit à l'admission du recours et à l'annulation de la décision attaquée du 25 septembre 2006. Le dossier sera renvoyé à l'OAI pour fixer les prestations légales.</w:t>
      </w:r>
    </w:p>
    <w:p>
      <w:r>
        <w:rPr>
          <w:b/>
        </w:rPr>
        <w:t>E. 5</w:t>
      </w:r>
    </w:p>
    <w:p>
      <w:r>
        <w:t>a) En dérogation à l'art. 61 let. a LPGA, la procédure de recours en matière de contestations portant sur l'octroi ou le refus de prestations de l'AI devant le tribunal cantonal des assurances est soumise à des frais de justice (art. 69 al. 1 bis LAI). Toutefois, selon l'art. 52 LPA- 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L'avance de frais de 1'000 fr. versée par la recourante lui sera donc restituée. b) La recourante, qui obtient gain de cause, a droit à des dépens (art. 61 let. g LPGA). Selon l'art. 7 du Tarif du 2 décembre 2008 des frais judiciaires et des dépens en matière de droit des assurances sociales du 2 décembre 2008 (RSV 173.36.5.2), les dépens comprennent des honoraires fixés d'après l'importance et la complexité du litige, sans égard à la valeur litigieuse. En l'espèce, il y a lieu de fixer ces dépens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