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ZD06.026745 vom 2. Oktober 2009</w:t>
      </w:r>
    </w:p>
    <w:p>
      <w:r>
        <w:t>VD Tribunal cantonal, 2009-10-02, FR</w:t>
      </w:r>
    </w:p>
    <w:p>
      <w:r>
        <w:rPr>
          <w:b/>
        </w:rPr>
        <w:t xml:space="preserve">Quelle: </w:t>
      </w:r>
      <w:r>
        <w:t>https://mcp.opencaselaw.ch/entscheid/vd_gerichte_ZD06.026745</w:t>
      </w:r>
    </w:p>
    <w:p>
      <w:r>
        <w:t>FR: VD_GERICHTE ZD06.026745 du 2 octobre 2009</w:t>
      </w:r>
    </w:p>
    <w:p>
      <w:r>
        <w:t>IT: VD_GERICHTE ZD06.026745 del 2 ottobre 2009</w:t>
      </w:r>
    </w:p>
    <w:p>
      <w:pPr>
        <w:pStyle w:val="Heading2"/>
      </w:pPr>
      <w:r>
        <w:t>Erwägungen</w:t>
      </w:r>
    </w:p>
    <w:p>
      <w:r>
        <w:rPr>
          <w:b/>
        </w:rPr>
        <w:t>E. 3</w:t>
      </w:r>
    </w:p>
    <w:p>
      <w:r>
        <w:t>Est litigieuse en l'espèce la question du taux d’invalidité du recourant et de son éventuel droit à une rente AI.</w:t>
      </w:r>
    </w:p>
    <w:p>
      <w:r>
        <w:t>- 15 -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b) Aux termes de l'art. 28 al. 1 LAI, dans sa teneur en vigueur du 1er janvier 2004 au 31 décembre 2007,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w:t>
      </w:r>
    </w:p>
    <w:p>
      <w:r>
        <w:t>- 16 -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9C_791/2008 du 27 mai 2009, consid. 3.1).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9C_1043/2008 du 2 juillet 2009, consid. 3.1). En outre, l'âge de l'assuré, à l'instar du défaut de qualifications professionnelles et du manque de connaissances linguistiques, n'est pas un facteur lié à l'invalidité, de sorte que l'on ne doit pas en tenir compte dans l'évaluation de celle-ci (ATF 107 V 17 consid. 2c ; TF 9C_1043/2008 du 2 juillet 2009, consid. 3.2).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w:t>
      </w:r>
    </w:p>
    <w:p>
      <w:r>
        <w:t>- 17 -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w:t>
      </w:r>
    </w:p>
    <w:p>
      <w:r>
        <w:rPr>
          <w:b/>
        </w:rPr>
        <w:t>E. 4</w:t>
      </w:r>
    </w:p>
    <w:p>
      <w:r>
        <w:t>a) En l’espèce, sur le plan somatique, tous les médecins ayant examiné le recourant avant la décision attaquée estiment que ses troubles l’empêchent de travailler à temps complet dans son ancienne activité de manœuvre. Leurs diagnostics concordent. En effet, le 14 août 1998, la Dresse G.________ a observé des lésions arthrosiques cervicales, avec une probable atteinte radiculaire irritative C6 droite. Le 14 octobre suivant, le Dr C.________ a quant à lui constaté des troubles dégénératifs multiples débutants. La Dresse G.________ a posé, le 14 décembre 1999, les diagnostics de cervico-brachialgies gauches C8, irritatives sans atteinte EMG confirmée sur hernie discale cervicale C7-D1 paramédiane gauche, ainsi que de cervicarthrose prédominante en C4-C5 droite, de gonalgies</w:t>
      </w:r>
    </w:p>
    <w:p>
      <w:r>
        <w:t>- 18 - sur syndrome fémoro-patellaire, de troubles statiques rachidiens, de coxarthrose prédominante à gauche, d’arthrose sacro-iliaque bilatérale et de status après méniscectomie du genou droit en 1995. La Dresse G.________ a ensuite indiqué, le 7 août 2001, que l’état de santé de l’assuré était stationnaire sur le plan rhumatologique et devrait lui permettre d’exercer une profession légère théoriquement à plein temps, nonobstant son manque de motivation et ses nombreuses plaintes douloureuses à des endroits même éloignés des sites cervico-lombaires. Dans un rapport établi suite à un examen clinique bidisciplinaire ayant eu lieu le 15 octobre 2002, les Drs P.________ et V.________ du SMR ont diagnostiqué de discrets troubles dégénératifs cervico-lombaires et une discrète coxarthrose bilatérale prédominant à gauche. Quant aux experts du Centre d'expertise Y.________, ils ont retenu le diagnostic de troubles dégénératifs modérés des régions cervicale et lombaire basses. Excepté la Dresse D.________, tous les médecins constatent une discordance entre les douleurs décrites par le recourant et les constatations médicales objectives. Les Drs G.________, C.________ et B.________, ainsi que le Dr F.________ retiennent une capacité de travail de 50% dans l’activité habituelle de manœuvre. Le Dr P.________ ne se prononce pas. La Dresse D.________ retient quant à elle, dans son rapport du 28 octobre 2003, une incapacité de travail complète dans toute profession, mais tient compte dans son appréciation de l'ensemble des troubles de son patient, y compris les troubles psychiques. Enfin, l'expert O.________ retient une incapacité de travail complète dans la profession de manœuvre et de 50% dans une activité adaptée, mais prend également les troubles psychiques en considération. La majorité des médecins précités estiment donc que les troubles strictement somatiques n'entraînent pas d'incapacité de travail dans une activité adaptée aux limitations fonctionnelles du recourant. On constate en particulier que la coxarthrose a été diagnostiquée en 1999, mais qu'elle n'a pas été considérée, par la</w:t>
      </w:r>
    </w:p>
    <w:p>
      <w:r>
        <w:t>- 19 - majorité des spécialistes consultés, comme provoquant des douleurs d'une intensité telle qu'indiquée par l’assuré. Quant à l'aggravation des troubles somatiques du recourant, la Dresse D.________ mentionne, dans son rapport du 2 octobre 2007, qu'elle est intervenue fin 2006-début 2007, soit après la décision attaquée du 20 juillet 2006. Il y a lieu de retenir en conséquence une pleine capacité de travail sur le plan somatique, dans une activité adaptée. b) Sur le plan psychiatrique, les diagnostics diffèrent. Le Dr R.________ a diagnostiqué un syndrome douloureux somatoforme persistant depuis juin 1998 et un trouble dépressif et anxieux mixte atypique (cf. rapport du 16 juillet 2001) ; le Dr V.________ un trouble somatoforme douloureux. Ce dernier mentionne, dans son rapport du 15 octobre 2002, que le recourant présente un état de base tendu et anxieux, en rapport avec la persistance de son tableau douloureux et ses difficultés existentielles, liées à son arrêt de travail prolongé. Il ne relève toutefois pas de trouble thymique grave, ni de personnalité pathologique constitutifs d’une comorbidité au trouble somatoforme douloureux. L'expert T.________ a retenu le diagnostic d’un épisode dépressif moyen avec syndrome somatique, ce que le Dr N.________ a confirmé (cf. rapports des 28 février 2005 et 15 novembre 2007). Cette affection étant répertoriée sous chiffre F32.11 de la Classification statistique internationale des maladies et des problèmes de santé connexes (CIM-10, éd. 2008) de l'Organisation Mondiale de la Santé, ces médecins énoncent un diagnostic issu d'une classification reconnue. Selon la CIM-10, dans les épisodes typiques de chacun des trois degrés de dépression léger, moyen ou sévère,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w:t>
      </w:r>
    </w:p>
    <w:p>
      <w:r>
        <w:t>- 20 - observe habituellement des troubles du sommeil et une diminution de l’appétit. Il existe presque toujours une diminution de l’estime et de la confiance en soi et, fréquemment, des idées de culpabilité ou de dévalorisation, même dans les formes légères. L’humeur dépressive ne varie guère d’un jour à l’autre ou selon les circonstances, et peut s’accompagner de symptômes dits « somatiques »,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Dans le cas présent, la Dresse T.________ a observé que l’assuré présentait des problèmes de concentration, une mémoire légèrement diminuée, de la tristesse avec une anxiété généralisée et un sentiment d’oppression thoracique, ainsi qu’une légère diminution de l’appétit, avec perte de goût de la nourriture. Elle a également constaté le maintien du poids corporel, l’absence de difficulté d’endormissement, des réveils nocturnes fréquents en raison des douleurs et du sifflement d’oreilles lors de l’endormissement, une hypersomnie avec environ dix heures de sommeil par nuit, une sieste de deux à trois heures dans la journée, une anhédonie, une perte d’intérêt pour la vie et une diminution de la libido. De même, le Dr N.________ mentionne que l’humeur est triste, et qu'à l’interrogatoire, le patient verbalise son anhédonie, son aboulie et sa perte d’espoir. La Dresse T.________ énumère ainsi de multiples traits caractéristiques de la dépression. Elle indique en outre que les douleurs non expliquées par les relevés cliniques sont à voir dans le cadre de ce trouble psychique et que cette symptomatologie dépressive limite fortement l’intéressé pour surmonter ses douleurs. Ce diagnostic ne saurait être mis en doute par l'avis du Dr R.________, lequel est peu documenté, ni par celui du Dr V.________, qui se limite à mentionner une thymie légèrement dépressive et le fait que le recourant ne se plaint pas de trouble de l’attention ou de la concentration. Ces rapports ne sauraient dès lors être décisifs. Il y a ainsi lieu de retenir le diagnostic d’épisode dépressif moyen avec syndrome somatique.</w:t>
      </w:r>
    </w:p>
    <w:p>
      <w:r>
        <w:t>- 21 - Les experts du Centre d'expertise Y.________ se déterminent en outre sur le degré de l'affection. Sur le plan clinique, leur diagnostic est fondé sur les plaintes subjectives de l'assuré et sur leur propre examen. Enfin, ils procèdent à l'évaluation de la capacité de travail adaptée au trouble précité. En effet, ils estiment celle-ci à 50% sur le plan objectif, en tenant compte ainsi d'une exagération du recourant quant à l'intensité de ses douleurs, ce qu'ont d'ailleurs constaté la majorité des médecins qui l'ont examiné. Sous l'angle psychiatrique, le rapport d'expertise contient ainsi suffisamment d'éléments permettant de se convaincre qu'à l'époque des faits déterminants, la mise à profit de la capacité de travail était raisonnablement exigible à 50% dans une activité adaptée. En outre, le rapport se fonde sur des examens médicaux complets et prend en considération les plaintes exprimées par l'assuré. Il a été établi en pleine connaissance de l'anamnèse et du dossier médical, la description du contexte médical et l'appréciation de la situation médicale sont claires et non contradictoires et les conclusions sont dûment motivées. Enfin, l'appréciation du Dr N.________, qui estime l'incapacité de travail entière, est insuffisamment étayée, de sorte qu'elle ne saurait l'emporter sur les conclusions des experts. c) Il convient dès lors de retenir une capacité de travail de 50% dans une activité adaptée à compter du mois de juin 1998. C'est en effet dès cette date que le recourant a été en incapacité de travail de façon durable, comme le retient le Dr F.________ dans son rapport du 17 octobre 2002, ce qui correspond au surplus aux indications données par l'employeur. Le dossier étant complet il n'y a pas lieu d'ordonner une expertise comme le demande le recourant, dont la requête doit ainsi être rejetée.</w:t>
      </w:r>
    </w:p>
    <w:p>
      <w:r>
        <w:rPr>
          <w:b/>
        </w:rPr>
        <w:t>E. 5</w:t>
      </w:r>
    </w:p>
    <w:p>
      <w:r>
        <w:t>S’agissant du calcul économique, il y a lieu de procéder par comparaison des revenus (art. 16 LPGA ; cf. supra, consid. 2b). a) Revenu sans invalidité</w:t>
      </w:r>
    </w:p>
    <w:p>
      <w:r>
        <w:t>- 22 -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Selon son employeur, le recourant aurait touché un salaire horaire de 23 fr. 35, sur la base de la convention nationale du secteur principal de la construction en Suisse (ci-après : CN), dans sa version en vigueur en 1999 (année d’ouverture du droit à la rente ; cf. art. 29 LAI). S’agissant de la durée annuelle de travail, dite convention prévoit, à son art. 24, ce qui suit : « 1 La durée annuelle du travail est le temps de travail brut qui doit être effectué durant une année civile, pendant lequel le travailleur doit effectuer sa prestation de travail et avant déduction des heures qui ne doivent, en général, pas être effectuées tels que les jours fériés payés et celles qui, de manière individuelle, ne doivent pas être effectuées, tels que vacances, maladie, accident, jours de service de protection civile, etc. Le total des heures annuelles de travail déterminant est le suivant : a) dans les grandes villes et leur agglomération pour 1998 et 1999 chaque fois 2112 heures (365 jours : 7 = 52,14 semaines x 40,5 heures) ; b)dans les « autres régions » : 1. pour 1998 : 2125 heures (365 jours : 7 = 52,14 semaines x 40,75 heures) et 2. pour 1999 : 2112 heures (365 jours : 7 = 52,14 semaines x 40,5 heures) ». Le recourant recevait en outre un 13ème salaire, à hauteur de 8,3% du salaire annuel (art. 50 CN). Ses revenus en 1999 se seraient ainsi élevés à 53'408 fr. 35 ([2'112 fr. x 23 fr. 35 = 49'315 fr. 20] + [49'315 fr. 20 x 8,3% = 4'093 fr. 16]).</w:t>
      </w:r>
    </w:p>
    <w:p>
      <w:r>
        <w:t>- 23 -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29 LAI ; ATF 129 V 222 ; TF 8C_288/2008 du 26 novembre 2008, consid. 3.5). Dans la mesure où, in casu, l’intéressé a présenté une incapacité de travail durable depuis le mois de juin 1998, il convient d'arrêter ici l'année de référence à 1999. En l'espèce, le salaire de référence est celui auquel peuvent prétendre les hommes effectuant des activités simples et répétitives dans le secteur privé (production et services), soit en 1998, 4’268 fr. par mois, part au 13ème salaire comprise (cf. Enquête suisse sur la structure des salaires 1998, TA1; niveau de qualification 4), ce qui correspond, après indexation (+ 0,3%), à un montant de 4'280 fr. 80 en 1999.</w:t>
      </w:r>
    </w:p>
    <w:p>
      <w:r>
        <w:t>- 24 - Comme les salaires bruts standardisés tiennent compte d'un horaire de travail de quarante heures, soit une durée hebdomadaire inférieure à la moyenne usuelle dans les entreprises en 1999 (41,8 heures; cf. La vie économique 12/2006, tableau B 9.2.), ce montant doit être porté à 4'473 fr. 44, ce qui donne un salaire annuel de 53'681 fr. 23. Compte tenu de la capacité de travail exigible de 50% dans une activité adaptée, le revenu d'invalide doit être réduit en proportion pour atteindre un montant annuel de 26'840 fr. 62.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un abattement de 15% paraît approprié, dès lors qu'il prend en compte le handicap du recourant, son âge et ses circonstances personnelles. Le revenu annuel avec invalidité s’élève par conséquent à 22'815 francs. c) Comparé au revenu sans invalidité de la même période, il donne un taux d'invalidité de 57,28%, arrondi à 57% (ATF 130 V 121), qui se calcule comme suit: (53'408 fr. – 22'815 fr.) x 100 53'408 fr. Ce taux, supérieur à 50%, ouvre droit à une demi-rente d’invalidité dès le 1er juin 1999 (cf. art. 28 al. 1 et 29 LAI).</w:t>
      </w:r>
    </w:p>
    <w:p>
      <w:r>
        <w:t>- 25 -</w:t>
      </w:r>
    </w:p>
    <w:p>
      <w:r>
        <w:rPr>
          <w:b/>
        </w:rPr>
        <w:t>E. 6</w:t>
      </w:r>
    </w:p>
    <w:p>
      <w:r>
        <w:t>En définitive, le recours doit être admis et la décision attaquée réformée en ce sens que le recourant a droit à une demi-rente d’invalidité à compter du 1er juin 1999.</w:t>
      </w:r>
    </w:p>
    <w:p>
      <w:r>
        <w:rPr>
          <w:b/>
        </w:rPr>
        <w:t>E. 7</w:t>
      </w:r>
    </w:p>
    <w:p>
      <w:r>
        <w:t>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