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ZC25.050074 vom 24. Oktober 2025</w:t>
      </w:r>
    </w:p>
    <w:p>
      <w:r>
        <w:t>VD Tribunal cantonal, 2025-10-24, FR</w:t>
      </w:r>
    </w:p>
    <w:p>
      <w:r>
        <w:rPr>
          <w:b/>
        </w:rPr>
        <w:t xml:space="preserve">Quelle: </w:t>
      </w:r>
      <w:r>
        <w:t>https://mcp.opencaselaw.ch/entscheid/vd_gerichte_ZC25.050074</w:t>
      </w:r>
    </w:p>
    <w:p>
      <w:r>
        <w:t>FR: VD_GERICHTE ZC25.050074 du 24 octobre 2025</w:t>
      </w:r>
    </w:p>
    <w:p>
      <w:r>
        <w:t>IT: VD_GERICHTE ZC25.050074 del 24 ottobre 2025</w:t>
      </w:r>
    </w:p>
    <w:p>
      <w:pPr>
        <w:pStyle w:val="Heading2"/>
      </w:pPr>
      <w:r>
        <w:t>Erwägungen</w:t>
      </w:r>
    </w:p>
    <w:p>
      <w:r>
        <w:rPr>
          <w:b/>
        </w:rPr>
        <w:t>E. 1</w:t>
      </w:r>
    </w:p>
    <w:p>
      <w:r>
        <w:t>La présente affaire porte sur la révision de l’arrêt rendu le 15 juillet 2024 (AVS 13/22 – 36/2024) par le juge unique de la Cour des assurances sociales du Tribunal cantonal.</w:t>
      </w:r>
    </w:p>
    <w:p>
      <w:r>
        <w:t>- 4 -</w:t>
      </w:r>
    </w:p>
    <w:p>
      <w:r>
        <w:rPr>
          <w:b/>
        </w:rPr>
        <w:t>E. 2</w:t>
      </w:r>
    </w:p>
    <w:p>
      <w:r>
        <w:t>a) La procédure devant le tribunal cantonal institué pour connaître du contentieux relatif au droit des assurances sociales, conformément aux art. 56 ss LPGA (loi fédérale sur la partie générale du droit des assurances sociales du 6 octobre 2000 ; RS 830.1), est régie par le droit cantonal, sous réserve de l’art. 1 al. 3 PA (loi fédérale du 20 décembre 1968 sur la procédure administrative ; RS 172.021). Cette procédure doit satisfaire aux exigences mentionnées aux lettres a à i de l’art. 61 LPGA. La lettre i de cette disposition prévoit notamment que les jugements sont soumis à révision si des faits ou des moyens de preuve nouveaux sont découverts ou si un crime ou un délit a influencé le jugement. Dans le canton de Vaud, la procédure de révision d’un jugement cantonal est régie par les art. 100 ss LPA-VD (loi cantonale vaudoise du 28 octobre 2008 sur la procédure administrative ; BLV 173.36). b) Selon un principe général, la demande en révision doit être formée devant l’autorité qui a statué sur le fond en dernière instance (ATF 134 III 45 consid. 2.2 ; TF 9C_473/2011 du 14 mai 2012 consid. 5.1 et les références citées). Lorsque le Tribunal fédéral, statuant sur la base des faits constatés dans la décision de l’instance précédente, admet ou rejette le recours dans une affaire de droit public ou de droit civil, son arrêt se substitue à la décision entreprise et constitue la seule décision en force (cf. art. 61 LTF [loi du 17 juin 2005 sur le Tribunal fédéral ; RS 173.110]) susceptible d’être révisée pour les motifs énumérés aux art. 121 et 123 LTF, de sorte qu’une demande de révision ne peut plus être formée devant l’instance précédente. La demande de révision peut cependant être formée devant l’instance précédente lorsque le recours a été déclaré irrecevable ou lorsque le motif de la demande en révision porte uniquement sur des aspects qui n’étaient plus litigieux en procédure devant le Tribunal fédéral (ATF 147 III 238 consid. 3.2.1 ; 138 II 386 consid. 6.2 ; cf. également Christian Denys, in Florence Aubry Girardin/Yves Donzallaz/Christian Denys/Grégory Bovey/Jean-Maurice Frésard, Commentaire de la LTF, 3e éd., Berne 2022, n° 6 ad art. 123 LTF).</w:t>
      </w:r>
    </w:p>
    <w:p>
      <w:r>
        <w:t>- 5 -</w:t>
      </w:r>
    </w:p>
    <w:p>
      <w:r>
        <w:rPr>
          <w:b/>
        </w:rPr>
        <w:t>E. 3</w:t>
      </w:r>
    </w:p>
    <w:p>
      <w:r>
        <w:t>a) En l’occurrence, en vertu de l’arrêt cantonal du 15 juillet 2024, le requérant a été reconnu responsable du non-paiement de cotisations sociales dues par la société B.________ et a été reconnu débiteur de la Caisse d’un montant de 9'168 fr. 60, ce qu’il conteste dans le cadre de sa demande de révision, en se prévalant notamment du principe constitutionnel d’équité. Or, l’arrêt cantonal a fait l’objet d’une procédure devant le Tribunal fédéral qui, dans son arrêt du 12 juin 2025, a statué sur le fond en qualité d’autorité de dernière instance dans la cause opposant le requérant à la Caisse concernant la responsabilité de l’intéressé quant au non-paiement de cotisations sociales dues par la société précitée et a rejeté le recours dont il était saisi, étant rappelé que le requérant avait déjà fait valoir devant le Tribunal fédéral que l’arrêt du juge unique de la Cour des assurances sociales contrevenait au principe d’équité (cf. consid. 3.4 de l’arrêt du Tribunal fédéral). Il ressort de ce qui précède que la demande de révision concerne notamment un aspect du litige qui a été soumis au Tribunal fédéral et que seul ce dernier est dès lors compétent pour connaître de la demande de révision. La demande de révision déposée devant la Cour des assurances sociales est par conséquent irrecevable. Une décision d’irrecevabilité doit ainsi être rendue conformément à la procédure de l’art. 82 LPA-VD, étant précisé qu’une telle décision relève de la compétence d’un membre de la Cour des assurances sociales du Tribunal cantonal statuant en tant que juge unique (art. 94 al. 1 let. d LPA-VD). b) Conformément à un principe général du droit administratif, reconnu par la doctrine, consacré à maintes reprises par la jurisprudence et par ailleurs rappelé aux art. 8 al. 1 et 21 al. 2 PA (cf. également les art. 30 et 39 al. 2 LPGA), une autorité suisse qui s’estime incompétente - qu’elle soit judiciaire ou non, cantonale ou fédéral - a l’obligation de transmettre l’affaire dont elle est saisie à l’autorité compétente, même en l’absence de règle idoine de droit fédéral ou de droit cantonal (ATF 102 V 73 consid. 1 ; TF I 521/02 du 2 mai 2003 consid. 2).</w:t>
      </w:r>
    </w:p>
    <w:p>
      <w:r>
        <w:t>- 6 - Il convient dès lors de transmettre d’office la demande de révision au Tribunal fédéral comme objet de sa compétence.</w:t>
      </w:r>
    </w:p>
    <w:p>
      <w:r>
        <w:rPr>
          <w:b/>
        </w:rPr>
        <w:t>E. 4</w:t>
      </w:r>
    </w:p>
    <w:p>
      <w:r>
        <w:t>Il reste à examiner les conclusions constatatoires (conclusions 3 et 5) et pour déni de justice (conclusion 8) prises par T.________.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144 II 359 consid. 4.3 ; 142 I 155 consid. 4.4.2 ; 134 V 418 consid. 5.2.1). En vertu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 133 II 400 consid. 2.2 et les références). Selon un principe général de procédure, les conclusions en constatation de droit ne sont recevables que lorsque des conclusions condamnatoires ou formatrices sont exclues ; sauf situations particulières, les conclusions constatatoires ont donc un caractère subsidiaire (ATF 141 II 113 consid. 1.7). b) La notion de déni de justice, déduite de l’art. 29 al. 1 Cst. (Constitution fédérale de la Confédération suisse du 18 avril 1999 ; RS 101), confère notamment à toute personne le droit à ce que sa cause soit</w:t>
      </w:r>
    </w:p>
    <w:p>
      <w:r>
        <w:t>- 7 -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135 I 265 consid. 4.4 ; 131 V 407 consid. 1.1 ; 130 I 312 consid. 5.1 et 5.2 ; TF 9C_501/2023 du 21 octobre 2024 consid. 4.2 ; TF 9C_230/2018 du 4 juin 2018 consid. 3.2). c) En l’espèce, les conclusions constatatoires prises par T.________ sont irrecevables. On ne discerne aucun intérêt du prénommé à faire constater que le courrier de sommation du 2 octobre 2025 de la Caisse n’est pas une décision. Les conclusions constatatoires concernant Z.________, qui relèvent de la motivation juridique, sont également irrecevables, étant précisé que le tribunal des assurances n’a pas la compétence de statuer sur les rapports issus d’une reconnaissance de dettes conclue sous seing privé entre deux particuliers. Concernant le déni de justice, on comprend de l’écriture du requérant qu’il reproche à la Caisse d’avoir refusé de réexaminer sa créance en réparation du dommage de 9'168 fr. 60. Or, comme vu plus haut, la demande de révision doit être portée devant l’autorité qui a statué sur le fond en dernière instance et la Caisse n’a pas la compétence de rendre une décision de réexamen d’une décision de justice entrée en force. Pour le surplus, le recourant n’explique pas quelle information ou pièce du dossier ne lui aurait pas été transmise, étant rappelé qu’il a eu accès à l’entier du dossier de la Caisse dans le cadre de la procédure judiciaire visée par sa demande de révision. Les conclusions tirées d’un déni de justice doivent partant être rejetées pour autant que recevables.</w:t>
      </w:r>
    </w:p>
    <w:p>
      <w:r>
        <w:rPr>
          <w:b/>
        </w:rPr>
        <w:t>E. 5</w:t>
      </w:r>
    </w:p>
    <w:p>
      <w:r>
        <w:t>En définitive, la demande de révision introduite le 18 octobre 2025 est irrecevable et doit être transmise au Tribunal fédéral comme objet de sa compétence. Les conclusions constatatoires sont irrecevables et le recours pour déni de justice est rejeté, pour autant que recevable.</w:t>
      </w:r>
    </w:p>
    <w:p>
      <w:r>
        <w:t>- 8 - Il n’y a pas lieu de percevoir de frais judiciaires (art. 50, 91 et 99 LPA-VD et 61 let. fbis LPGA), ni d’allouer de dépens (art. 61 let. g LPGA). Par ces motifs, le juge unique p r o n o n c e : I. La demande de révision introduite le 18 octobre 2025 est irrecevable. II. La demande de révision est transmise au Tribunal fédéral comme objet de sa compétence. III. Les conclusions constatatoires sont irrecevables. IV. Le recours pour déni de justice est rejeté, pour autant que recevable. V. Il n’est pas perçu de frais judiciaires, ni alloué de dépens. Le juge unique : La greffière : Du Le jugement qui précède est notifié à : - T.________, - V.________, - Tribunal fédéral,</w:t>
      </w:r>
    </w:p>
    <w:p>
      <w:r>
        <w:t>- 9 -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