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ZC24.008608 vom 12. Januar 2026</w:t>
      </w:r>
    </w:p>
    <w:p>
      <w:r>
        <w:t>VD Tribunal cantonal, 2026-01-12, FR</w:t>
      </w:r>
    </w:p>
    <w:p>
      <w:r>
        <w:rPr>
          <w:b/>
        </w:rPr>
        <w:t xml:space="preserve">Quelle: </w:t>
      </w:r>
      <w:r>
        <w:t>https://mcp.opencaselaw.ch/entscheid/vd_gerichte_ZC24.008608</w:t>
      </w:r>
    </w:p>
    <w:p>
      <w:r>
        <w:t>FR: VD_GERICHTE ZC24.008608 du 12 janvier 2026</w:t>
      </w:r>
    </w:p>
    <w:p>
      <w:r>
        <w:t>IT: VD_GERICHTE ZC24.008608 del 12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Il est donc recevable.</w:t>
      </w:r>
    </w:p>
    <w:p>
      <w:r>
        <w:rPr>
          <w:b/>
        </w:rPr>
        <w:t>E. 2</w:t>
      </w:r>
    </w:p>
    <w:p>
      <w:r>
        <w:t>Dans le cas particulier, est litigieux le bien-fondé de la décision sur opposition rendue le 24 janvier 2024 par l’intimée, confirmant le partage des revenus communiqué le 23 octobre 2023.</w:t>
      </w:r>
    </w:p>
    <w:p>
      <w:r>
        <w:rPr>
          <w:b/>
        </w:rPr>
        <w:t>E. 3</w:t>
      </w:r>
    </w:p>
    <w:p>
      <w:r>
        <w:t>Sans même analyser le fond de l’affaire, la Cour de céans constate que la décision entreprise est entachée d’un vice procédural qui ne peut qu’entraîner son annulation. a) Selon l'art. 49 LPGA, l'assureur doit rendre par écrit les décisions qui portent sur des prestations, créances ou injonctions importantes ou avec lesquelles l'intéressé n'est pas d'accord (al. 1) ; les décisions indiquent les voies de droit et doivent être motivées si elles ne font pas entièrement droit aux demandes des parties (al. 3, première et deuxième phrases). L'art. 52 al. 1 LPGA prévoit que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10J010</w:t>
      </w:r>
    </w:p>
    <w:p>
      <w:r>
        <w:t>- 7 - administratif subséquente (TF 9C_25/2025 du 13 mars 2025 consid. 4.2.1 ; TF 8C_736/2023 du 2 octobre 2024 consid. 5.2.1 et les références). Aux termes de l'art. 51 al. 1 LPGA, les prestations, créances ou injonctions qui ne sont pas visées à l'art. 49 al. 1 LPGA peuvent être traitées selon une procédure simplifiée. La prise de position de l'assureur selon la procédure informelle est écrite, le plus souvent sous la forme d’un décompte ou d’un relevé (Elodie Skoulikas/Valérie Défago Gaudin, in Dupont/Moser-Szeless [édit.], Loi sur la partie générale des assurances sociales, Commentaire romand, 2e éd., Bâle 2025, nos 4 et 7 ad art. 51 LPGA). Elle n’est, en outre, pas susceptible d'opposition ou de recours (TF 8C_340/2018 du 16 mai 2019 consid. 4.1). En vertu de l’art. 51 al. 2 LPGA, la personne intéressée peut en revanche exiger qu’une décision soit rendue, conformément à la procédure formalisée de l’art. 49 LPGA. La personne assurée peut ainsi prétendre à ce qu’une décision non seulement écrite, mais aussi motivée et indiquant les voies de droit lui soit communiquée (Skoulikas/Gaudin, op. cit., n° 12 ad art. 51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(ATF 134 V 145 consid. 5.2 ; 129 V 110 consid. 1.2.2). En présence d'une telle réaction de l'assuré, l'assureur a l'obligation de statuer par une décision formelle selon l'art. 49 LPGA (TF 8C_340/2018 précité consid. 4.2).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 TF 9C_646/2017 du 9 mars 2018 consid. 4.2 et les références). 10J010</w:t>
      </w:r>
    </w:p>
    <w:p>
      <w:r>
        <w:t>- 8 -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134 V 145, consid. 3.2). La décision qui présente un vice de forme (absence d'indication des voies de droit ou de motivation, par exemple) ne doit entraîner aucun préjudice pour l'intéressé (art. 49 al. 3, troisième phrase, LPGA). b) L’art. 29quinquies al. 3 let. c LAVS prévoit que les revenus que les époux ont réalisés pendant les années civiles de mariage commun sont répartis et attribués pour moitié à chacun des époux lorsque le mariage est dissous par le divorce. L’art. 50c RAVS (règlement du 31 octobre 1947 sur l’assurance-vieillesse et survivant ; RS 831.101) précise que lors de la dissolution d’un mariage par divorce ou annulation, le partage des revenus peut être demandé par chaque conjoint séparément ou par les deux conjoints ensemble (al. 1) et que la demande de partage des revenus peut être déposée auprès de chaque caisse de compensation qui tient un compte individuel pour l’un ou l’autre des conjoints (al. 2). La caisse de compensation qui reçoit la demande relative au partage des revenus (caisse commettante) mandate toutes les caisses qui tiennent les comptes individuels des conjoints (caisses commises) afin de partager les revenus réalisés pendant le mariage (art. 50d al. 1 RAVS). A la fin de la procédure de partage des revenus, la caisse commettante remet à chaque conjoint un récapitulatif de ses comptes individuels (art. 50d al. 2 RAVS). Il ressort par ailleurs de la Circulaire concernant le splitting en cas de divorce (CSD) édictée par l’Office fédéral des assurances sociales – destinée à l’administration, mais dont le juge ne s’écarte pas sans motif pertinent (ATF 150 V 1 consid. 6.4.2 et la référence) – que les conjoints qui estiment l’aperçu insuffisant ou qui contestent le partage des revenus ont la possibilité de demander un extrait des comptes individuels (ch. 5005 CSD). En l’absence de prescriptions spécifiques, une éventuelle contestation de l’extrait ainsi transmis relève, pour le surplus, de la règle 10J010</w:t>
      </w:r>
    </w:p>
    <w:p>
      <w:r>
        <w:t>- 9 - générale posée à l’art. 141 al. 2 RAVS, qui prévoit que la personne assurée peut, dans les trente jours suivant la remise de l’extrait de compte, exiger de la caisse de compensation la rectification de l’inscription, la caisse de compensation ayant alors l’obligation de se prononcer sous la forme d’une décision. c) En l’espèce, il est constant qu’à la suite de son divorce prononcé le 7 février 2022, l’assurée s’est adressée à la CCVD le 22 septembre 2023 afin qu’il soit procédé au partage des revenus des ex- époux, conformément aux art. 29quinquies al. 3 LAVS et art. 50c RAVS. C’est ainsi que l’intéressée s’est vu délivrer par la Caisse, le 23 octobre 2023, un aperçu de son compte individuel AVS après « splitting », au sens de l’art. 50d al. 2 RAVS. L’assurée a ensuite critiqué ledit partage, par courrier électronique du 6 novembre 2023, après quoi l’intimée s’est positionnée, toujours par voie électronique, le 29 novembre 2023. C’est à la suite de ces échanges que la recourante a écrit à l’intimée, le 11 décembre 2023, afin de réitérer sa contestation. Pour toute réaction, la CCVD a rendu la décision sur opposition litigieuse, le 24 janvier 2024. Une telle manière de procéder s’avère toutefois contraire au droit. Force est de constater que l’aperçu de compte individuel AVS établi le 23 octobre 2023 revêt la forme d’un simple relevé, n’est pas intitulé « décision », ne contient pas de motivation ou de référence à une quelconque base légale et ne comporte aucune indication d’éventuelles voies de droit. De toute évidence, le relevé en question ne constitue donc pas une décision formelle au sens de l’art. 49 al. 1 LPGA. Tel n’est pas davantage le cas du courrier électronique de la Caisse du 29 novembre 2023. Sur le plan formel, outre son mode de transmission, cet écrit ne satisfait pas aux exigences de l’art. 49 al. 1 LPGA dans la mesure où il n’est pas intitulé comme décision et n’énonce aucune voie de droit. Sur le fond, ce courriel se contente d’informer l’assurée sur les conséquences attachées à un potentiel acquittement des cotisations dues par son ex-mari et sur le caractère impératif du partage des revenus, sans aucune portée décisionnelle ; sa nature informative est, du reste, accentuée par la mention « [n]ous restons à votre disposition » en fin de texte, qui laisse la porte 10J010</w:t>
      </w:r>
    </w:p>
    <w:p>
      <w:r>
        <w:t>- 10 - ouverte à des échanges supplémentaires et n’est, dès lors, aucunement évocatrice d’un acte statuant sur un rapport juridique obligatoire et contraignant entre l'autorité et l'administré. Partant, en l’absence de toute décision formelle au sens de l’art. 49 al. 1 LPGA, l’écriture de l’assurée du 11 décembre 2023 ne pouvait en aucun cas être qualifiée d’opposition, ni a fortiori aboutir à la décision sur opposition rendue le 24 janvier 2024 par l’intimée. La manière de procéder de l’intimée n’est pas davantage défendable sous l’angle de la procédure simplifiée instituée à l’art. 51 LPGA. A cet égard, il faut relever qu’un aperçu de compte permet uniquement d’avoir une vue d’ensemble des revenus inscrits après « splitting » (cf. lettre d’accompagnement jointe à l’aperçu de compte du 23 octobre 2023) et n’équivaut donc pas à un extrait de compte en bonne et due forme. C’est pourquoi il est prévu que la personne assurée, en cas de désaccord avec l’aperçu de compte individuel après « splitting », sollicite la transmission d’un extrait de compte (ch. 5005 CSD) – qui peut, en ce sens, être assimilé à une prise de position en procédure informelle (cf. art. 51 LPGA) – susceptible d’être contesté auprès de la caisse de compensation compétente, cette dernière devant alors statuer par le biais d’une décision formelle (cf. art. 141 al. 2 RAVS). En tout état de cause, il résulte de ce qui précède que la voie de l’opposition n’est ouverte ni à l’encontre de l’aperçu de compte, ni à l’encontre de l’extrait de compte. Sous cet angle non plus, l’intimée n’était donc pas légitimée à considérer l’écriture du 11 décembre 2023 comme une opposition, ni à statuer sur opposition le 24 janvier 2024. A la lumière des considérations qui précèdent, il s’impose de retenir que la décision sur opposition prononcée le 24 janvier 2024 par la CCVD n’est pas conforme au système légal et doit, en conséquence, être annulée. La cause sera dès lors renvoyée à l’intimée, afin qu’elle adresse à la recourante – laquelle a d’ores et déjà manifesté la volonté de contester le partage des revenus – un extrait de ses comptes individuels, dont il sera loisible à l’intéressée de contester l’exactitude auprès de la Caisse, laquelle devra cas échéant se prononcer par le biais d’une décision au sens de l’art. 49 al. 1 LPGA. 10J010</w:t>
      </w:r>
    </w:p>
    <w:p>
      <w:r>
        <w:t>- 11 - Dans ces conditions, il n’y a pas lieu de se prononcer plus avant sur les arguments au fond des parties. Pour les mêmes motifs, la Cour renonce à statuer sur la demande de restitution du délai de réplique.</w:t>
      </w:r>
    </w:p>
    <w:p>
      <w:r>
        <w:rPr>
          <w:b/>
        </w:rPr>
        <w:t>E. 4</w:t>
      </w:r>
    </w:p>
    <w:p>
      <w:r>
        <w:t>a) En conclusion, il y a donc lieu d’admettre le recours pour des motifs d’ordre formel et d’annuler purement et simplement la décision sur opposition rendue le 24 janvier 2024 par l’intimée, la cause lui étant renvoyée afin qu’elle procède conformément aux considérants du présent arrêt. b) Il n’y a pas lieu de percevoir de frais judiciaires (art. 61 let. fbis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