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ZC23.018660 vom 8. Februar 2024</w:t>
      </w:r>
    </w:p>
    <w:p>
      <w:r>
        <w:t>VD Tribunal cantonal, 2024-02-08, FR</w:t>
      </w:r>
    </w:p>
    <w:p>
      <w:r>
        <w:rPr>
          <w:b/>
        </w:rPr>
        <w:t xml:space="preserve">Quelle: </w:t>
      </w:r>
      <w:r>
        <w:t>https://mcp.opencaselaw.ch/entscheid/vd_gerichte_ZC23.018660</w:t>
      </w:r>
    </w:p>
    <w:p>
      <w:r>
        <w:t>FR: VD_GERICHTE ZC23.018660 du 8 février 2024</w:t>
      </w:r>
    </w:p>
    <w:p>
      <w:r>
        <w:t>IT: VD_GERICHTE ZC23.018660 del 8 febbraio 2024</w:t>
      </w:r>
    </w:p>
    <w:p>
      <w:pPr>
        <w:pStyle w:val="Heading2"/>
      </w:pPr>
      <w:r>
        <w:t>Erwägungen</w:t>
      </w:r>
    </w:p>
    <w:p>
      <w:r>
        <w:rPr>
          <w:b/>
        </w:rPr>
        <w:t>E. 7</w:t>
      </w:r>
    </w:p>
    <w:p>
      <w:r>
        <w:t>a) En définitive le recours doit être rejeté et la décision querellée confirmée.</w:t>
      </w:r>
    </w:p>
    <w:p>
      <w:r>
        <w:t>- 14 - b)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c) La partie recourante n’a pas droit à des dépens dès lors qu’elle n’obtient pas gain de cause (art. 61 let. g LPGA). Par ces motifs, la juge unique p r o n o n c e : I. Le recours est rejeté. II. La décision sur opposition rendue le 29 mars 2023 est confirmée. III. Les frais judiciaires, arrêtés à 200 fr. (deux cents francs), sont mis à la charge de la recourante. IV. Il n’est pas alloué de dépens. La juge unique : Le greffier : Du</w:t>
      </w:r>
    </w:p>
    <w:p>
      <w:r>
        <w:t>- 15 - L'arrêt qui précède est notifié à : - S.________ (pour W.________), à [...],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