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ZC23.010866 vom 31. Juli 2025</w:t>
      </w:r>
    </w:p>
    <w:p>
      <w:r>
        <w:t>VD Tribunal cantonal, 2025-07-31, FR</w:t>
      </w:r>
    </w:p>
    <w:p>
      <w:r>
        <w:rPr>
          <w:b/>
        </w:rPr>
        <w:t xml:space="preserve">Quelle: </w:t>
      </w:r>
      <w:r>
        <w:t>https://mcp.opencaselaw.ch/entscheid/vd_gerichte_ZC23.010866</w:t>
      </w:r>
    </w:p>
    <w:p>
      <w:r>
        <w:t>FR: VD_GERICHTE ZC23.010866 du 31 juillet 2025</w:t>
      </w:r>
    </w:p>
    <w:p>
      <w:r>
        <w:t>IT: VD_GERICHTE ZC23.010866 del 31 luglio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l’obligation d’A.________, au sens de l’art. 52 LAVS, de réparer le préjudice subi par la caisse intimée ensuite du non- paiement, par la société V.________ Sàrl, en sa qualité d’employeur, de cotisations sociales encore dues pour l’année 2021 à concurrence d’un montant de 63'886 fr. 95.</w:t>
      </w:r>
    </w:p>
    <w:p>
      <w:r>
        <w:rPr>
          <w:b/>
        </w:rPr>
        <w:t>E. 3</w:t>
      </w:r>
    </w:p>
    <w:p>
      <w:r>
        <w:t>a) L’art. 14 al. 1 LAVS, en corrélation avec les art. 34 ss du règlement du 31 octobre 1947 sur l’assurance-vieillesse et survivants (RAVS ; RS 831.101), prescrit que l’employeur doit déduire, lors de chaque paie, la cotisation du salarié et verser celle-ci à la caisse de compensation en même temps que sa propre cotisation (voir également l’art. 51 al. 1</w:t>
      </w:r>
    </w:p>
    <w:p>
      <w:r>
        <w:t>- 6 -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c)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notion d’organe responsable selon l’art. 52 LAVS est en principe identique à celle qui se dégage de l’art. 754 al. 1 CO (code des obligations du 30 mars 1911 ; RS 220). La responsabilité incombe aux</w:t>
      </w:r>
    </w:p>
    <w:p>
      <w:r>
        <w:t>- 7 -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citées).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 Demeurent réservés les cas où le dommage résulte d’actes qui n’ont déployé leurs effets qu’après le départ de la société (TF 9C_716/2013 du 30 mai 2014 consid. 4.3.2 et les références citées). d)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au sens de l’art. 52 LAVS comprend aussi les frais d’administration des caisses de compensation (art. 69 al. 1 LAVS), les amendes d’ordre (art. 91 LAVS), les frais de sommation (art. 34a RAVS) et les intérêts moratoires afférent aux cotisations impayées à l’échéance, conformément à l’art. 41bis RAVS (ATF 121 III 382 consid. 3/bb).</w:t>
      </w:r>
    </w:p>
    <w:p>
      <w:r>
        <w:t>- 8 - e/aa)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Le fait de ne pas être en mesure d’exercer ses fonctions, parce que la personne morale est dirigée en fait par d’autres personnes, ou d’accepter un mandat à titre fiduciaire, ne constitue pas un motif de suppression ou d’atténuation de la faute commise. La jurisprudence s’est toujours montrée sévère, lorsqu’il s’agissait d’apprécier la responsabilité d’un administrateur qui alléguait avoir été exclu de la gestion d’une société et qui s’était accommodé de ce fait sans autre forme de procès (TF 9C_722/2015 du 31 mai 2016 consid. 3.3 ; TF 9C_289/2009 du 19 mai 2010 consid. 4.2). cc) La responsabilité selon l’art. 52 LAVS suppose un rapport de causalité adéquate entre la violation – intentionnelle ou par négligence grave – par l’employeur des devoirs lui incombant et la survenance du</w:t>
      </w:r>
    </w:p>
    <w:p>
      <w:r>
        <w:t>- 9 -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f/aa)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bb)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2.1 et 2.3 et les références). cc) Les délais institués à l’art. 52 al. 3 LAVS sont des délais de prescription et non de péremption (ATF 135 V 74 consid. 4.2.2). L’art. 135 CO est applicable par analogie pour l’examen des motifs propres à</w:t>
      </w:r>
    </w:p>
    <w:p>
      <w:r>
        <w:t>- 10 - interrompre la prescription de la créance en réparation du dommage au sens de l’art. 52 LAVS. Il en résulte que la prescription est interrompue lorsque le débiteur reconnaît la dette, notamment en payant des intérêts ou des acomptes, en constituant un gage ou en fournissant une caution ou lorsque le créancier fait valoir des droits par des poursuites, par une requête de conciliation, par une action ou une exception devant un tribunal ou un tribunal arbitral ou par une intervention dans une faillite (ATF 141 V 487 consid. 2.3 ; 135 V 74 consid. 4.2.1).</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l’occurrence, l’action en réparation du dommage n’est pas prescrite, ce que le recourant ne conteste d’ailleurs pas. b) En revanche, est litigieuse la responsabilité personnelle du recourant, au sens de l’art. 52 LAVS, pour le dommage causé à l’intimée à concurrence d’un montant de 63'886 fr. 95. aa) Dans un premier moyen, le recourant fait valoir qu’il ne saurait être tenu responsable, à titre personnel, des dettes de cotisations paritaires de la société V.________ Sàrl dont il a acquis la totalité du capital social. Par convention du 8 juillet 2021, le recourant a acheté à l’associé-gérant précédent (M.________) la totalité des parts sociales de</w:t>
      </w:r>
    </w:p>
    <w:p>
      <w:r>
        <w:t>- 11 - V.________ Sàrl pour un montant de 5'000 fr. comprenant l’ensemble des actifs et passifs de cette société. Dans ce cadre, il a déclaré « être suffisamment informé de l’état actuel de la société ». En lien avec l’exécution de cette convention, le recourant a été inscrit au Registre du commerce en qualité d’associé gérant avec signature individuelle de V.________ Sàrl depuis le 13 juillet 2021 (publication dans la FOSC du 16 juillet 2021). En outre, au vu du prix très réduit de l’acquisition des parts sociales de la société, le recourant devait se douter que la situation financière et économique de l’entité débitrice des cotisations paritaires envers l’intimée n’était pas optimale, ce d’autant plus qu’il a accepté la reprise des parts sociales sans la moindre garantie et a confirmé avoir été suffisamment informé de l’état actuel de ladite société. bb) Le recourant fait également valoir qu’il ne saurait être tenu responsable de l’aggravation de la dette de cotisations paritaires, motif pris que la société V.________ Sàrl n’aurait plus occupé de personnel en son sein et du fait qu’il a dû partir à l’étranger, puis a été incarcéré, sans avoir géré ladite société, laquelle n’avait ni activité ni personnel. En l’espèce, le recourant a manifestement violé son devoir de renseignement envers la caisse intimée en ne l’informant pas de la prétendue absence de personnel au sein de V.________ Sàrl, invoquée aux stades de l’opposition et de la présente procédure de recours. A sa décharge, il soutient qu’il se trouvait dans l’impossibilité de gérer ladite société, étant détenu en Hongrie, puis en Suisse. Il convient de relever d’emblée des contradictions dans les propos du recourant, lequel expose tout d’abord, avoir dû se rendre à l’étranger « dès qu’il a eu la responsabilité de gérer la société » (cf. p. 4 du mémoire de recours du 13 mars 2023), puis à la page suivante, avoir été arrêté en Hongrie à la « mi- juin 2021 », soit, selon ses dires, après la signature au mois de mai 2021 du contrat de cession des parts sociales de V.________ Sàrl, laquelle ratification a en réalité eu lieu le 8 juillet 2021, suivie de son inscription en qualité d’associé-gérant de la société au Registre du commerce le 13 juillet 2021. Les allégations formulées – qui ne reposent sur aucun élément de preuve – ne sont pas convaincantes. En outre, il incombait au recourant, prétendument dans l’impossibilité de gérer la société V.________</w:t>
      </w:r>
    </w:p>
    <w:p>
      <w:r>
        <w:t>- 12 - Sàrl, de désigner un fondé de procuration ou un mandataire pour le remplacer, voire de démissionner de ses fonctions, par une simple lettre (cf. art. 933 al. 2 CO), ce qu’il n’a pas fait. En tout état de cause, le recourant se devait de renseigner la caisse intimée sur le nombre d’employés de la société et solliciter la fin du paiement des acomptes, s’il était avéré que la société débitrice des cotisations paritaires n’employait plus de personnel au moment de sa reprise. Dans ces conditions, l’inaction du recourant est bien la cause directe et adéquate du dommage subi par l’intimée. cc) Dans un troisième moyen, le recourant soutient qu’il a racheté la société débitrice des cotisations paritaires peu avant sa mise en faillite, faisant valoir implicitement une circonstance atténuante, voire une exemption de sa responsabilité du fait du caractère obéré de la société cédée. En l’occurrence, la société V.________ Sàrl n’a pas fait l’objet d’un jugement de faillite, mais d’une dissolution judiciaire en raison d’une carence dans son organisation au sens de l’art. 731b CO, sans aucun doute du fait de l’absence du seul associé gérant, à savoir le recourant, alors, selon ses dires, emprisonné. Même si les normes applicables en matière de faillite trouvent application dans ce contexte (cf. art. 731b al. 1bis ch. 3 CO), cela ne veut pas encore dire que la situation économique de la société était obérée. En effet, le recourant n’a pas fourni à la caisse intimée d’éléments comptables, ni n’a rendu vraisemblable d’une quelconque manière les difficultés financières rencontrées par la société débitrice des cotisations paritaires ou l’existence d’un mandat de délégation à un tiers. Du reste, la société n’a pas fait l’objet d’une procédure de faillite, mais elle a été radiée par décision du juge en raison de carences organisationnelles. En d’autres termes, aucun élément au dossier ne permet de laisser à penser que la société V.________ Sàrl se trouvât dans une situation d’insolvabilité avant l’entrée en fonction du recourant le 13 juillet 2021.</w:t>
      </w:r>
    </w:p>
    <w:p>
      <w:r>
        <w:t>- 13 - Par ailleurs, il n’est pas contesté que les arriérés de cotisations paritaires dues par V.________ Sàrl atteignaient déjà un montant important au moment où le recourant en a repris la gestion dès le 13 juillet 2021. Il s’ensuit que ce dernier ne peut pas se décharger de sa responsabilité, quant au dommage subi par l’intimée, sur ses prédécesseurs. En outre, le recourant n’a rien fait pour diminuer le dommage, par exemple en sollicitant un plan de paiement auprès de l’intimée. Au contraire, il n’a pas assumé sa responsabilité de chef d’entreprise, démissionnant de sa fonction d’associé-gérant, sans même faire nommer un suppléant, ni céder les parts sociales dont il était titulaire. Il n’a pas davantage pris de quelconques mesures d’assainissement, ni sollicité du juge le dépôt de bilan. Or le recourant est resté formellement inscrit en tant qu’associé- gérant jusqu’à la radiation d’office de la société au Registre du commerce le 24 février 2022. Durant ce laps de temps, il a continué à recevoir les communications adressées par la caisse intimée sans formuler aucune opposition, ni la moindre réaction. Or, en sa qualité d’unique associé- gérant de la société, le recourant était tenu légalement de la gérer (cf. art. 809 CO). C’est par conséquent en vain que le recourant tente de se disculper de sa responsabilité personnelle dans le dommage subi par l’intimée en raison du non-paiement des cotisations sociales paritaires dues par la société V.________ Sàrl, dont il avait repris seul la gestion dans le courant du mois de juillet 2021. dd) In casu, l’ampleur du dommage, dont le total a été chiffré à 63'886 fr. 95, est contesté par le recourant, mais sans que le grief ne soit étayé, si bien que ce montant tel que détaillé par l’intimée, peut être d’office confirmé.</w:t>
      </w:r>
    </w:p>
    <w:p>
      <w:r>
        <w:rPr>
          <w:b/>
        </w:rPr>
        <w:t>E. 6</w:t>
      </w:r>
    </w:p>
    <w:p>
      <w:r>
        <w:t>Le recourant a requis la mise en œuvre de débats publics sans invoquer l’art. 6 par. 1 CEDH (Convention de sauvegarde des droits de l'homme et des libertés fondamentales du 4 novembre 1950 ; RS 0.101), ni faire référence à la jurisprudence y relative. À l’appui de sa requête de mise en œuvre de débats déposée dans son mémoire de recours du 13 mars 2023, il s’est en effet limité à requérir son audition pour lui permettre, ainsi qu’à son avocat, de faire valoir ses arguments par oral. Or si l’art. 6 par. 1 CEDH garantit à chacun le droit à ce que sa cause soit</w:t>
      </w:r>
    </w:p>
    <w:p>
      <w:r>
        <w:t>- 14 - entendue publiquement, une telle demande doit être formulée de manière claire et indiscutable (TF 9C_335/2021 du 9 février 2022 consid. 3.2). Tel n’est pas le cas en l’espèce, la requête formulée par le recourant – assisté d’un mandataire professionnel – constituant une demande tendant à son audition sur sa situation personnelle. Il s’agit ainsi d’une requête tendant à la mise en œuvre d’une mesure d’instruction et qui ne fonde pas l’obligation d’organiser des débats publics au sens de l’art. 6 CEDH.</w:t>
      </w:r>
    </w:p>
    <w:p>
      <w:r>
        <w:rPr>
          <w:b/>
        </w:rPr>
        <w:t>E. 7</w:t>
      </w:r>
    </w:p>
    <w:p>
      <w:r>
        <w:t>En définitive, le recours s’avère mal fondé et c’est à juste titre que la caisse intimée a exigé du recourant la réparation du dommage subi à hauteur de 63'886 fr. 95. Il s’ensuit que le recours doit être rejeté et la décision entreprise confirmée.</w:t>
      </w:r>
    </w:p>
    <w:p>
      <w:r>
        <w:rPr>
          <w:b/>
        </w:rPr>
        <w:t>E. 8</w:t>
      </w:r>
    </w:p>
    <w:p>
      <w:r>
        <w:t>a) La procédure ouverte en 2023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1’500 fr. compte tenu de l’importance et de la difficulté de la cause (art. 4 al. 1 TFJDA). b) L’intimée n’a pas droit à des dépens,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