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ZC23.003353 vom 30. Januar 2025</w:t>
      </w:r>
    </w:p>
    <w:p>
      <w:r>
        <w:t>VD Tribunal cantonal, 2025-01-30, FR</w:t>
      </w:r>
    </w:p>
    <w:p>
      <w:r>
        <w:rPr>
          <w:b/>
        </w:rPr>
        <w:t xml:space="preserve">Quelle: </w:t>
      </w:r>
      <w:r>
        <w:t>https://mcp.opencaselaw.ch/entscheid/vd_gerichte_ZC23.003353</w:t>
      </w:r>
    </w:p>
    <w:p>
      <w:r>
        <w:t>FR: VD_GERICHTE ZC23.003353 du 30 janvier 2025</w:t>
      </w:r>
    </w:p>
    <w:p>
      <w:r>
        <w:t>IT: VD_GERICHTE ZC23.003353 del 30 gennaio 2025</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notamment), de sorte qu'il est recevable.</w:t>
      </w:r>
    </w:p>
    <w:p>
      <w:r>
        <w:rPr>
          <w:b/>
        </w:rPr>
        <w:t>E. 1.3</w:t>
      </w:r>
    </w:p>
    <w:p>
      <w:r>
        <w:t>; 130 III 49 consid. 1.2 et les arrêts cités). L'interprétation d’une convention doit être effectuée selon les règles générales sur l'interprétation des contrats. Il y a lieu de rechercher, tout d'abord, la réelle et commune intention des parties (art. 18 al. 1 CO).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w:t>
      </w:r>
    </w:p>
    <w:p>
      <w:r>
        <w:t>- 8 -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144 III 93 consid. 5.2 ; 140 V 145 consid. 3.3 et les références citées).</w:t>
      </w:r>
    </w:p>
    <w:p>
      <w:r>
        <w:rPr>
          <w:b/>
        </w:rPr>
        <w:t>E. 2</w:t>
      </w:r>
    </w:p>
    <w:p>
      <w:r>
        <w:t>Sont litigieuses les questions de savoir si les indemnités allouées aux anciens collaborateurs C.________ et K.________ ainsi que les commissions allouées au dénommé B.________ sont sujettes ou non à la perception de cotisations sociales.</w:t>
      </w:r>
    </w:p>
    <w:p>
      <w:r>
        <w:rPr>
          <w:b/>
        </w:rPr>
        <w:t>E. 3</w:t>
      </w:r>
    </w:p>
    <w:p>
      <w:r>
        <w:t>a) Sont notamment assurées conformément à la LAVS les personnes physiques domiciliées en Suisse et les personnes physiques qui exercent en Suisse une activité lucrative (art. 1a al. 1 let. a et b LAVS). Selon l’art. 4 LAVS, les cotisations des assurés qui exercent une activité lucrative sont calculées en pour-cent du revenu provenant de l’exercice de l’activité dépendante ou indépendante. Les cotisations perçues sur le revenu provenant de l’exercice d’une activité dépendante sont retenues lors de chaque paie et doivent être versées périodiquement par l’employeur en même temps que la cotisation de l’employeur (art. 14 al. 1 LAVS).</w:t>
      </w:r>
    </w:p>
    <w:p>
      <w:r>
        <w:t>- 5 - b)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133 V 153 consid. 3.1 et les références citées). Selon cette définition, entrent donc également dans le salaire déterminant tous les revenus liés à des rapports de travail ou de service qui n’auraient pas été perçus sans ses rapports (ATF 131 V 444 consid. 1.1). d) L’art. 7 RAVS (règlement du 31 octobre 1947 sur l’assurance-vieillesse et survivants ; RS 831.101)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8bis ou 8ter. Au regard de cette disposition, l’élément déterminant pour la prise en compte des prestations versées par l’employeur lors de la cessation des rapports de travail est la relation directe ou indirecte, mais étroite entre les créances de l’employé et les rapports de service. Font notamment partie du salaire déterminant les rétributions versées au salarié en cas de résiliation anticipée des rapports de service. En</w:t>
      </w:r>
    </w:p>
    <w:p>
      <w:r>
        <w:t>- 6 - revanche, les indemnités pour résiliation abusive (art. 336a CO) et pour résiliation injustifiée (art. 337c al. 3 CO) ne font pas partie du salaire déterminant (ATF 123 V 5 consid. 5 ; Michel Valterio, Droit de l’assurance- vieillesse et survivants [AVS] et de l’assurance-invalidité [AI], Genève/Zurich/Bâle 2011, n°367, p. 118). Sont ainsi notamment considérées comme des rétributions entrant dans le salaire déterminant des paiements effectués lors du licenciement d’un directeur et de son départ en pré-retraite (VSI 1994 p. 271 consid. 4). Il en va de même d’une indemnité forfaitaire servie au départ d’une employée, à la suite de la résiliation des rapports de travail par consentement mutuel (TF 8C_338/2017 du 29 janvier 2018 consid. 4.1).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139 V 176 consid. 5.3). Aussi n'existe-t-il pas, en droit des assurances sociales, un principe selon lequel l'administration ou le juge devrait statuer, dans le doute, en faveur de l'assuré (ATF 135 V 39 consid. 6.1).</w:t>
      </w:r>
    </w:p>
    <w:p>
      <w:r>
        <w:rPr>
          <w:b/>
        </w:rPr>
        <w:t>E. 4</w:t>
      </w:r>
    </w:p>
    <w:p>
      <w:r>
        <w:t>a) En l’espèce, la recourante fait valoir que l’indemnité perçue par l’ancien collaborateur K.________ équivaut à une indemnité pour résiliation abusive au sens de l’art. 336a CO, et celle perçue par l’ancien employé C.________ serait une indemnité pour licenciement immédiat injustifié au sens de l’art. 337c al. 3 CO, lesquelles seraient exemptées du paiement des charges sociales conformément à la jurisprudence. Dans les deux cas, l’intimée est pour sa part d’avis qu’il s’agit d’indemnités liées à la résiliation des rapports de travail du fait de la recourante. A ce titre, elles répondraient à la notion de salaire déterminant</w:t>
      </w:r>
    </w:p>
    <w:p>
      <w:r>
        <w:t>- 7 - au sens de l’art. 5 al. 2 LAVS, respectivement de l’art. 7 let. q RAVS, justifiant ainsi le paiement de cotisations sociales. b) Les indemnités litigieuses ont été convenues dans des transactions judiciaires. aa) Il sied de préciser d’emblée que l’argument de l’intimée, selon lequel une indemnité versée en vertu de l’art. 336a CO ou 337c al. 3 CO devrait être fixée par un juge pour être valablement considérée comme telle et ne pas être prise en compte comme salaire déterminant est absolument sans pertinence (CASSO AVS 48/17- 33/2018 du 6 août 2018 consid. 5). Les Directives de l’Office fédéral des assurances sociales (OFAS) sur le salaire déterminant dans l’AVS, AI et APG (ci-après : DSD) ont d’ailleurs été modifiées en ce sens que le chiffre 2097 énonce qu’une indemnité résultant d’une transaction judiciaire ou extrajudiciaire n’est exceptée du salaire déterminant que si la documentation présentée à la caisse de compensation ne laisse place à aucun doute qu’il s’agit exclusivement d’une telle indemnité, qu’elle ne comprend pas d’autres créances et que le montant de l’indemnité est clairement établi. bb) Afin de déterminer la nature des indemnités litigieuses, il y a lieu d’examiner la volonté des parties lors de la conclusion des transactions. D'après la jurisprudence, la transaction est un contrat par lequel les parties mettent fin, par des concessions réciproques, à un litige ou à une incertitude touchant un rapport de droit (ATF 132 III 737 consid.</w:t>
      </w:r>
    </w:p>
    <w:p>
      <w:r>
        <w:rPr>
          <w:b/>
        </w:rPr>
        <w:t>E. 5</w:t>
      </w:r>
    </w:p>
    <w:p>
      <w:r>
        <w:t>a) K.________ a déposé une requête de conciliation contre la recourante auprès du Tribunal de Prud’hommes de l’arrondissement de [...] le 31 juillet 2015, indiquant qu’il avait été engagé le 1er janvier 2015 pour une durée indéterminée en qualité de manager call-center et responsable de formation à plein temps pour un salaire mensuel de 7’000 francs. Il a allégué que la recourante avait résilié les rapports de travail par courrier daté du 29 avril 2015 pour le 31 mai 2015 prétendument en raison de son manque de résultat dans son activité, puisqu’il n’avait été signé aucun contrat d’assurances par son intermédiaire, et en raison du fait qu’il persistait à s’accorder des libertés dans ses horaires de travail malgré un avertissement. Il a relevé qu’il n’était pas chargé, comme cela ressortait de son contrat de travail, de conclure des contrats d’assurances auprès de tiers pour le compte de l’employeur, de sorte que le motif de licenciement consistant à lui reprocher des prestations insuffisantes de cette nature tombait donc à faux. Il a également contesté le second motif de résiliation en arguant que, depuis l’avertissement, il avait été absent une seule fois pour se rendre à une consultation médicale. Il a soutenu que la recourante l’avait licencié car elle n’avait plus besoin de lui, dès lors qu’elle l’avait engagé pour mettre en place un call-center qui était, en l’état, installé. L’employé a qualifié le licenciement d’abusif et requis une indemnité de trois mois de salaire mensuel brut, soit la somme de 21'000 fr. qui lui paraissait adéquate au vu notamment de l’attitude particulièrement peu convenable de la recourante. Il a conclu à ce que son employeur lui soit reconnu débiteur de la somme de 28'000 fr. (sic) nette avec intérêts au 31 mai 2015 à titre d’indemnité pour licenciement abusif ainsi qu’à la délivrance d’un certificat de travail conforme.</w:t>
      </w:r>
    </w:p>
    <w:p>
      <w:r>
        <w:t>- 9 - La conciliation tentée lors de l’audience du 17 septembre 2015 a échoué « au vu de l’absence de procuration de la représentante de la défenderesse pour transiger ». L’autorisation de procéder délivrée le 17 septembre 2015 mentionne notamment une conclusion en paiement à hauteur de 21'000 fr. à titre d’indemnité, dans un litige concernant un licenciement abusif. K.________ a déposé une demande contre la recourante devant le même tribunal le 10 décembre 2015, en se prévalant des mêmes allégués que dans la requête de conciliation précitée. Il a notamment conclu à ce que la recourante lui soit reconnue débitrice de la somme nette de 21'000 fr. avec intérêts au 31 mai 2015, à titre d’indemnité pour licenciement abusif. Les 9 et 10 mars 2016, les parties, désireuses de régler amiablement ce litige et la fin de tous leurs rapports juridiques, ont signé une convention qui prévoit à son article I : « Sans reconnaissance de responsabilité, H.________ Sàrl se reconnaît débitrice de K.________ d’un montant net de CHF 10'000.- (…) à titre d’indemnité de départ. ». En outre, l’employeur s’est engagé à délivrer à son ancien employé un certificat de travail conforme au texte annexé à la convention. Cette dernière a été annexée au procès-verbal pour valoir jugement par la présidente du Tribunal de Prud’hommes qui a ainsi rayé la cause du rôle le 31 mars 2016. b)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 131 III 535 consid. 4.1). C'est le lieu de souligner la différence de nature existant entre la résiliation ordinaire au sens de l'art. 335 CO, que l'employeur est libre de notifier à moins que l'employé ne démontre son caractère abusif,</w:t>
      </w:r>
    </w:p>
    <w:p>
      <w:r>
        <w:t>- 10 - et le congé immédiat (art. 337 CO), que l'employeur ne peut mettre en œuvre que s'il démontre l'existence d'un juste motif. L'art. 336 al. 1 CO énumère des cas dans lesquels la résiliation (ordinaire) est abusive ; cette liste n'est toutefois pas exhaustive et une résiliation abusive peut aussi être admise dans d'autres circonstances, en application de l'art. 2 al. 2 CC (Code civil suisse du 10 décembre 1907 ; RS 210). Il faut cependant que ces autres situations apparaissent comparables, par leur gravité, aux cas expressément envisagés par l'art. 336 CO (ATF 136 III 513 consid. 2.3 ; 132 III 115 consid. 2.1). Le motif de la résiliation relève du fait et il incombe en principe au travailleur d'apporter la preuve d'un motif abusif ; le juge peut cependant présumer un abus lorsque le motif avancé par l'employeur semble mensonger et que celui-ci ne parvient pas à en apporter la confirmation (ATF 130 III 699 consid. 4.1). c) En l’espèce, il est constant que les parties ont été liées par un contrat de travail de durée indéterminée dès le 1er janvier 2015, librement résiliable par chacune d'elles conformément à l'art. 335 al. 1 CO, moyennant le respect du délai et du terme de congé convenus ou légaux, et que l'employeur a mis fin à celui-ci le 29 avril 2015 pour l'échéance du 31 mai suivant. Cette résiliation respecte le délai de congé ordinaire d’un mois pendant la première année de service (art. 335c al. 1 CO). On est donc bien en présence d’une résiliation ordinaire au sens de l'art. 335 CO, que l'employé a contesté en se prévalant de son caractère abusif. Tous les actes de procédure qui ont donné lieu à la transaction litigieuse, soit la requête de conciliation, l’autorisation de procéder et la demande en paiement, avaient uniquement pour objet le versement d’une indemnité pour résiliation abusive au sens de l’art. 336a CO (sur le plan pécuniaire). La procédure prud’homale ne contenait aucune prétention de nature salariale, de sorte qu’il n’existe aucun doute sur la nature indemnitaire de l’intégralité de la somme convenue. Selon les actes de la procédure prud’homale, la recourante a invoqué comme motif de licenciement le fait de ne pas avoir rapporté de contrat d’assurances, alors qu’une telle mission ne faisait pas partie des tâches de l’employé, et une absence qui aurait en fait été justifiée par une consultation médicale. Ces</w:t>
      </w:r>
    </w:p>
    <w:p>
      <w:r>
        <w:t>- 11 - faits ont été contestés par l’employé qui s’est plaint d’une résiliation abusive et a requis l’allocation d’une indemnité à ce titre. Rien ne permet de conclure que les parties ont eu la volonté de transiger le litige en convenant du versement d’un montant versé à un autre titre que celui pour lequel la procédure a été intentée. On ne saurait en particulier rien tirer du terme d’indemnité de départ utilisé dans la convention pour justifier l’allocation du montant litigieux, dès lors que l’on ne se trouve pas dans la situation prévue par l’art. 339b CO, qu’à aucun moment il n’a été revendiqué d’indemnité de départ visant à compenser une perte financière et qu’il n’a même jamais été allégué que le contrat prévoyait le droit à une indemnité de départ en cas de résiliation du contrat. Compte tenu de la brièveté des rapports de travail, l’octroi d’une telle indemnité ne paraît au surplus pas vraisemblable. Dans ces conditions, la caisse intimée a violé le droit fédéral en considérant cette indemnité comme du salaire déterminant et en la soumettant à cotisations.</w:t>
      </w:r>
    </w:p>
    <w:p>
      <w:r>
        <w:rPr>
          <w:b/>
        </w:rPr>
        <w:t>E. 5.1</w:t>
      </w:r>
    </w:p>
    <w:p>
      <w:r>
        <w:t>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1026 DSD). Aux chiffres 1029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1030 DSD).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1031 DSD). Parmi les autres critères non décisifs, figurent le fait que l’assuré exerce son activité à titre de profession principale ou accessoire</w:t>
      </w:r>
    </w:p>
    <w:p>
      <w:r>
        <w:t>- 19 - (ch. 1033 DSD), que l’assuré soit affilié à une caisse de compensation en qualité de travailleur indépendant (ch. 1034 DSD), qu’un salarié travaille simultanément pour plusieurs employeurs (ch. 1035 DSD), ou la qualification des revenus par l’autorité fiscale (ch. 1038 DSD). cc)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 même du personnel (TF 9C_796/2014 du 27 avril 2015 consid. 3.4 ; TF H 14/87 du 24 août 1987 consid. 2b publié in RCC 1988 p. 398, et les références citées). En revanche, le courtage est en règle générale considéré comme une activité indépendante.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w:t>
      </w:r>
    </w:p>
    <w:p>
      <w:r>
        <w:t>- 20 - des assurances sociales qui fait du risque encouru par l’entrepreneur l’un des critères permettant de reconnaître l’existence d’une activité indépendante. Quant aux dépenses du courtier, elles ne lui sont remboursées, alors même que l’affaire n’a pas abouti, que si cela a été convenu (art. 413 al. 3 CO). Pour toutes ces raisons, il s’impose généralement de considérer que le courtier exerce une activité indépendante (H 6/05 du 19 mai 2006 consid. 2.1 et les références citées). Dans la cause H 19/06, le Tribunal fédéral s’est prononcé sur le cas d’un agent d'assurance dont l'activité consistait à s’entremettre en vue d'offrir à sa clientèle la meilleure solution d'assurance. Nonobstant le fait que celui-ci avait traité, durant une période déterminée, qu'avec une seule compagnie d'assurances – à savoir son ex-employeur –, le Tribunal fédéral avait nié un lien de dépendance économique, car l'agent démarchait et conseillait sa clientèle en son propre nom sans recevoir d'instruction, et était libre d'offrir les produits d'une autre compagnie d'assurances concurrente sans préjudice pour lui. Le Tribunal fédéral avait également admis que l'intéressé supportait un véritable risque d'entrepreneur dans la mesure où l'entier des frais qu'il engageait n'étaient compensés que si les démarches prospectives mises en œuvre aboutissaient à la conclusion d'un contrat. Ces circonstances l'avaient conduit à juger que l'activité en cause réunissait les caractéristiques principales du courtage, activité considérée en règle générale par la jurisprudence comme étant de nature indépendante. c) Dans le cas d’espèce, les parties ont signé le 27 février 2019 une convention de collaboration d’agent indépendant externe, soumise aux art. 418a ss CO qui stipule que le dénommé B.________ est un conseiller économique indépendant avec le statut de conseiller intermédiaire indépendant non salarié et porteur du risque de son activité ; il devait pourvoir lui-même au financement de cette activité à l’aide des avances de commissions que lui versait le mandant et devait fournir une attestation d’une caisse de compensation (art. 2 de la convention). La volonté des parties était ainsi de soumettre le collaborateur à un statut d’indépendant.</w:t>
      </w:r>
    </w:p>
    <w:p>
      <w:r>
        <w:t>- 21 - L’intimée ne fournit aucun élément permettant d’interpréter la situation comme étant une relation d’employeur à salarié. Elle ne met en avant aucun argument qui aurait justifié d’appréhender la situation différemment de ce qui ressort du contrat d’agence signé par les parties. Or, en présence d’un contrat écrit qui établit clairement la volonté des parties, il appartenait à la Caisse d’établir au degré de la vraisemblance prépondérante que la relation devait être qualifiée différemment sur le plan des assurances sociales. Elle n’a en outre pas répondu aux griefs de la recourante qui a contesté le statut retenu dans le cadre de son opposition. Ces griefs paraissent pourtant bien fondés. On relève que le collaborateur occupe ses propres locaux, dispose de sa propre employée en la personne de [...] et supporte lui- même l’essentiel de ses frais professionnels. Il est libre de travailler le temps nécessaire à sa formation, à la conclusion suffisante d’affaires par rapport à ses objectifs et au suivi de sa clientèle, sans devoir observer un horaire de travail déterminé. S’il doit respecter des directives en matière de conseils à la clientèle et exercer son activité de façon loyale et consciencieuse, rien ne permet de retenir que ce devoir excède celui du mandataire qui doit agir conformément aux instructions reçues. Sur le plan organisationnel, au vu de l'ensemble des circonstances concrètes du cas d'espèce, il n’y a pas d’élément suffisant pour écarter l'existence d'une activité indépendante. On ne trouve dans le dossier aucun indice attestant d'un quelconque lien de subordination organisationnelle de l’agent en cause vis-à-vis de la recourante. Le rapport juridique entre les intéressés se cantonne à un pur contrat d'agence essentiellement fondé sur les règles du Code des obligations sur le contrat d’agence pour indépendant. Les clauses contractuelles sur l’obligation de garder le secret et la prohibition de faire concurrence ne sortent pas du cadre de l’art. 418d CO ; il n’est pas interdit à l’agent de travailler pour un autre mandant mais il a un devoir de confidentialité relative aux dossiers du mandant. Le dénommé B.________ ne peut engager la société sans autorisation écrite préalable spécialement</w:t>
      </w:r>
    </w:p>
    <w:p>
      <w:r>
        <w:t>- 22 - accordée par les directives et ne peut encaisser des primes ou tout autre paiement pour le compte de compagnie d’assurances, ce qui est conforme aux art. 418c al. 3 et 418e CO. Il n’existe pas de clause de non- concurrence ni d'octroi par la recourante d'un droit exclusif de représentation. Pour sa part, la recourante s’est engagée à mettre à disposition de son agent les documents nécessaires à son activité, conformément à l’art. 418f CO. S’agissant de la rétribution, celle-ci est prévue exclusivement sous forme d’avances de commissions sur les affaires conclues ; pour leur versement, il est tenu compte de la situation financière de l’agent vis-à-vis de la société, qui se réserve le droit de compenser toutes les créances qu’elle détiendrait envers l’agent avec des commissions dues. Puis le mandant prélève un pourcentage de la commission afin de garantir les éventuelles extournes de commissions après la fin des rapports contractuels ; cette retenue est destinée à alimenter un compte de caution. Dans ce contexte, on peine à trouver dans la relation juridique qui a lié les parties les éléments caractéristiques d’un contrat de travail. On ne saurait voir dans le fait que les revenus de B.________ durant la période litigieuse sont relativement importants l'existence d'un lien de dépendance économique. Cela peut résulter d’un choix délibéré de l’agent. En tout état de cause, celui-ci demeurait à tout moment libre de conseiller les produits d'un concurrent de la recourante, sans préjudice apparent pour lui. Lorsqu’il a été mis un terme à cette relation avec la recourante, on ne peut raisonnablement affirmer que le collaborateur en question s’est retrouvé dans une situation semblable à celle d'un salarié qui perd son emploi, dès lors qu’il avait la possibilité d’avoir plusieurs mandants et que l’intimée n'a pas établi qu’il travaillait exclusivement pour la recourante. En outre, il avait des charges de fonctionnement (secrétaire, loyer) qui perduraient au-delà de la fin du contrat de collaboration qui pouvait être résilié en tout temps avec un préavis de 30 jours. S’agissant des risques que le dénommé B.________ a assumés dans son activité, ils existent à plusieurs titres. Le contrat prévoit que si,</w:t>
      </w:r>
    </w:p>
    <w:p>
      <w:r>
        <w:t>- 23 - pour quelque cause que ce soit, le contrat d’assurance ne peut être maintenu pendant un minimum de trois années, l’avance de commission acquise précédemment sur l’affaire doit être remboursée à la société. Les démarches prospectives de l’agent ne sont ainsi rémunérées que si elles aboutissent à un contrat qui dure au moins trois ans. En outre, comme relevé plus haut, le mandant peut compenser ses créances en restitution avec des commissions encore dues et il en prélève un pourcentage pour alimenter un compte de caution qui ne sera libéré que lorsque le mandant a constaté l’extinction de toute obligation de l’agent à son égard, la durée pouvant atteindre au maximum 4 ans. A cela s’ajoute que la convention est résiliée d’office si l’agent ne ramène pas de nouvelle affaire pendant six mois. Au vu de ces circonstances, l'importance du critère du risque économique de l'entrepreneur doit être reconnue, d’autant plus que l’agent doit engager et supporter l'entier des frais nécessaires à l'exercice de son activité (notamment secrétaire, locaux, téléphonie, informatique, transport) qui ne sont compensés que dans la mesure où les affaires conclues perdurent, comme indiqué ci-dessus. L’éventuelle absence d’affiliation du collaborateur à une caisse de compensation n’est pas déterminante ; en outre il était affilié lorsqu’il a signé la convention de collaboration et rien ne permet d’affirmer qu’il ne s’est pas affilié à une autre caisse à la suite de son déménagement. Il suit de ce qui précède que l’intimée n’a pas démontré que l'activité de B.________, dans ses relations commerciales avec la recourante, procéderait d'une activité dépendante ni sur le plan organisationnel, ni sur le plan économique. Ainsi, contrairement à la position défendue par la caisse intimée, il n’existe au dossier aucun élément qui laisse à penser que l’on se trouvait, dans le cadre de cette affaire, en présence d’une activité dépendante du prénommé. Il apparaît que la caisse intimée a violé le droit fédéral, en considérant, sur la base des éléments à disposition, que le versement des commissions précitées devait être soumis à cotisations sociales. Le recours se révèle par conséquent bien fondé sur ce point.</w:t>
      </w:r>
    </w:p>
    <w:p>
      <w:r>
        <w:t>- 24 -</w:t>
      </w:r>
    </w:p>
    <w:p>
      <w:r>
        <w:rPr>
          <w:b/>
        </w:rPr>
        <w:t>E. 6</w:t>
      </w:r>
    </w:p>
    <w:p>
      <w:r>
        <w:t>a) La recourante a résilié avec effet immédiat le contrat de travail de C.________ par courrier du 12 mars 2018, à la suite de son comportement « plus qu’inapproprié avec un client ». Elle a précisé qu’une plainte d’un partenaire lui avait été transmise à la suite de son comportement irrespectueux envers un client, ce qui était intolérable, dès lors que les collaborateurs externes étaient l’image de l’entreprise sur le terrain et que son comportement mettait en péril les bonnes relations avec les partenaires de l’entreprise. La recourante a relevé en outre que la qualité du travail de l’employé C.________ n’était absolument pas en adéquation avec les critères de qualité demandés et s’est référée à deux cas de réticence. Elle a également reproché à cet employé de ne pas suivre la politique de l’entreprise dans son ensemble et de ne pas participer aux séances de vente ainsi qu’aux formations organisées dans ses locaux. Elle a requis le remboursement de la somme de 1'400 fr. à</w:t>
      </w:r>
    </w:p>
    <w:p>
      <w:r>
        <w:t>- 12 - titre de frais relatifs à la formation AFA du collaborateur qui n’avait pas été suivie jusqu’à son terme. C.________ a déposé le 4 juin 2018 une requête de conciliation devant le Tribunal d’arrondissement de [...], concluant à ce que H.________ Sàrl lui soit reconnue débitrice et lui doive immédiat paiement de la somme de 100'000 fr., avec intérêts à 5% l’an dès le 1er mai 2017. Il a allégué avoir été engagé le 1er mai 2016 comme conseiller externe et être rémunéré par un salaire à la commission. Il a notamment donné des explications sur son comportement envers un client qui avait été agressif et a requis l’allocation d’une indemnité pour licenciement injustifié correspondant à trois mois de salaire, soit trois fois 4'500 francs. Compte tenu du licenciement immédiat injustifié, il a précisé qu’il avait également droit au salaire qu’il aurait perçu en cas de licenciement ordinaire. A cette somme s’ajoutait un montant de 84'100 fr. correspondant à la différence entre les salaires perçus pendant toute la durée contractuelle, qu’il estimait trop bas, et la rémunération convenable à laquelle il estimait avoir droit, selon sa propre appréciation. Pour rester dans la compétence du tribunal d’arrondissement, il a limité ses prétentions à 100'000 francs. Lors de l’audience de conciliation du 4 septembre 2018, les parties ont signé une convention pour mettre fin au litige. H.________ Sàrl s’est engagée à verser à C.________ la somme de 14'000 fr. à titre d’indemnité d’ici le 20 septembre 2018, pour solde de tout compte et de toutes prétentions. b) Aux termes de l'art. 337c al. 1 CO, lorsque l'employeur résilie immédiatement le contrat sans justes motifs, le travailleur a droit à ce qu'il aurait gagné si les rapports de travail avaient pris fin à l'échéance du délai de congé (lorsque le contrat est de durée indéterminée).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s'ajoute</w:t>
      </w:r>
    </w:p>
    <w:p>
      <w:r>
        <w:t>- 13 -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in fine). Pour fixer cette indemnité, le juge peut prendre en considération la durée des rapports de travail, l'âge de l'employé, sa position dans l'entreprise, la situation sociale et économique des deux parties (ATF 135 III 405 consid. 3.1). c) Il est relevé d’emblée que, dès lors que la somme convenue est supérieure au montant requis à titre d’indemnité pour licenciement injustifié, il est fort douteux qu’elle concerne exclusivement cette indemnité. En outre, si la recourante a reconnu un licenciement immédiat injustifié, elle a dû avant toute chose entrer en matière sur le droit au salaire jusqu’à l’échéance du délai de congé avant d’admettre une éventuelle indemnité pour licenciement injustifié. Le montant de ce droit au salaire faisait également l’objet du litige puisque l’employé indiquait avoir perçu un salaire mensuel de 1'240 fr. par mois en 2018 alors qu’il aurait dû percevoir 4'500 fr. mensuellement. En effet l’employé a sollicité une remise à niveau de ses salaires pendant les trois années des rapports de travail, en faisant valoir que son salaire était trop bas et en se fondant sur ses calculs basés sur des chiffres qu’il a lui-même fixés par appréciation. Cette prétention a été chiffrée à 84'100 fr. par l’employé, ce qui représente le plus gros poste de ses conclusions en paiement qui ont ainsi une composition salariale nettement prépondérante. On ignore dans ces circonstances si et dans quelle mesure la recourante est entrée en matière sur une éventuelle remise à niveau du salaire et quel salaire de base a été pris en compte pour calculer la somme convenue. Il est pour le moins manifeste que ce montant ne comprend pas uniquement trois mois de salaire à 1'240 fr. et que le reste consiste en une indemnité pour licenciement injustifié. Il paraît en revanche hautement vraisemblable que la somme convenue a une composante salariale importante, si ce n’est</w:t>
      </w:r>
    </w:p>
    <w:p>
      <w:r>
        <w:t>- 14 - entière, l’éventuelle partie indemnitaire n’étant pas chiffrable. Il est peu probable de pouvoir déterminer de manière plus détaillée la volonté des parties sur la composition de cette somme, dès lors qu’il est courant qu’en cas de conciliation, les parties, ayant en tête l’ensemble des sommes litigieuses, s’accordent sur un montant global pour mettre fin au litige, sans pour autant qu’il corresponde pour l’une et pour l’autre à la somme de prétentions très précises. Dans ces circonstances, le fait que le montant a été qualifié « d’indemnité » n’est absolument pas déterminant. En présence d’une prestation à caractère essentiellement salariale et faute pour la recourante d’avoir établi une éventuelle composante indemnitaire, l’intimée était fondée à soumettre la somme en cause à des cotisations. Le grief à cet égard est donc mal fondé.</w:t>
      </w:r>
    </w:p>
    <w:p>
      <w:r>
        <w:rPr>
          <w:b/>
        </w:rPr>
        <w:t>E. 7</w:t>
      </w:r>
    </w:p>
    <w:p>
      <w:r>
        <w:t>a) L’intimée a soumis à cotisations les rémunérations de 95'970 fr. en 2019 et de 57'995 fr. en 2020 du collaborateur B.________. La recourante conteste la qualité de travailleur salarié de B.________, en relevant que celui-ci était affilié auprès de la Caisse AVS L.________ en qualité d’indépendant, en tant que courtier en assurances depuis le 1er septembre 2018. Elle a signé avec lui une convention de collaboration d’agent indépendant externe le 27 février 2019, entrée en vigueur le 1er mars 2019, au terme de laquelle le dénommé B.________ était chargé de l’acquisition de contrats d’assurances et de différents produits d’investissements représentés par la recourante. Elle relève que, depuis que l’intéressé a quitté son activité, la recourante ne cesse de recevoir des ristournes de commissions dont il lui est débiteur. L’intimée précise que l’intéressé n’était plus affilié à la caisse depuis le 28 février 2019, date à laquelle il avait transféré son activité à Genève. Elle ajoute que les cotisations doivent être perçues au moment où le salarié réalise son droit au salaire, le fait que le salarié doive par la suite rétrocéder une partie de sa rémunération en raison de la non-réalisation de l’affaire à laquelle était liée l’acquisition du salaire n’est pas déterminant pour décider de sa soumission à cotisations.</w:t>
      </w:r>
    </w:p>
    <w:p>
      <w:r>
        <w:t>- 15 - D’emblée, on constate que l’intimée n’a pas motivé le statut de salarié qu’elle a retenu, quand bien même il était contesté dans l’opposition. En outre, elle n’a pas produit le dossier complet puisque les annexes produites avec l’opposition ne figurent pas dans le dossier. La Cour est toutefois en mesure de se prononcer en l’état. b) aa)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 art. 6 ss RAVS).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rémunération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exerçant une activité lucrative indépendante peut simultanément avoir la qualité de salarié si elle reçoit un salaire correspondant (cf. art. 12 al. 2 LPGA).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w:t>
      </w:r>
    </w:p>
    <w:p>
      <w:r>
        <w:t>- 16 - travail et du point de vue de l’économie de l’entreprise, et ne supporte pas le risque encouru par l’entrepreneur (ATF 140 V 241 consid. 4.2 ;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241 consid. 4.2 ; 123 V 161 consid. 1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bb) Les DSD de l’OFAS sont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w:t>
      </w:r>
    </w:p>
    <w:p>
      <w:r>
        <w:t>- 17 - Ainsi, en rapport avec la définition du salaire déterminant, s’agissant de la notion de situation dépendante, le chiffre 1018 DSD (dans la version en vigueur dès le 1er janvier 2019)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9C_213/2016 du 17 octobre 2016 consid. 3.4 ; 9C_624/2011 du 25 septembre 2012 consid. 2.2 ; 9C_1062/2010 du 5 juillet 2011 consid.</w:t>
      </w:r>
    </w:p>
    <w:p>
      <w:r>
        <w:rPr>
          <w:b/>
        </w:rPr>
        <w:t>E. 7.3</w:t>
      </w:r>
    </w:p>
    <w:p>
      <w:r>
        <w:t>et les références citées ; voir aussi ATF 119 V 161 consid. 3b ; ch. 1019 DSD).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9C_213/2016 précité consid. 3.4 ; 9C_364/2013 du 23 septembre 2013 consid. 2.2 et les références citées). Quant au rapport social de dépendance économique, respectivement dans l’organisation du travail, du salarié, il se manifeste</w:t>
      </w:r>
    </w:p>
    <w:p>
      <w:r>
        <w:t>- 18 - notamment par l’existence d’un droit de donner des instructions au salarié, d’un rapport de subordination, de l’obligation de remplir la tâche personnellement, d’une prohibition de faire concurrence et d’un devoir de présence (ch. 1020 DSD). Selon le chiffre 1024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9C_364/2013 précité consid. 2.2 ; TF H 19/06 du 14 février 2007 consid.</w:t>
      </w:r>
    </w:p>
    <w:p>
      <w:r>
        <w:rPr>
          <w:b/>
        </w:rPr>
        <w:t>E. 8</w:t>
      </w:r>
    </w:p>
    <w:p>
      <w:r>
        <w:t>Les auditions de l’employée [...], de l’agent B.________ et d’ [...] requises par la recourante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134 I 140 consid. 5.3 ; 130 II 425 consid. 2.1).</w:t>
      </w:r>
    </w:p>
    <w:p>
      <w:r>
        <w:rPr>
          <w:b/>
        </w:rPr>
        <w:t>E. 9</w:t>
      </w:r>
    </w:p>
    <w:p>
      <w:r>
        <w:t>a) En partie bien fondé, le recours doit ainsi être partiellement admis. La décision sur opposition du 29 décembre 2022, en tant qu’elle porte sur la soumission à cotisations de l’indemnité pour licenciement abusif de l’employé K.________ et sur la soumission à cotisations de la rémunération de l’agent B.________ est annulée. Elle est maintenue pour le surplus. La cause est renvoyée à l’intimée pour nouveau calcul du montant dû, compte tenu de l’absence de cotisations dues pour les deux prestations précitées. b) La procédure ne porte pas sur l’octroi ou le refus de prestations d’assurance au sens de l’art. 61 let. f bis LPGA. Elle donne lieu à la perception de frais de justice, qu’il convient de mettre à la charge de la partie intimée, vu le sort du recours qui donne gain de cause à la recourante dans une large mesure (art. 45 et 49 al. 1 LPA-VD ; art. 1 al. 1 TFJDA [tarif du 28 avril 2015 des frais judiciaires et des dépens en matière administrative ; BLV 173.36.5.1]). Les frais sont fixés à 500 fr., compte tenu de l’importance et de la difficulté de la cause (art. 4 al. 1 TFJDA). c) La recourante, qui obtient partiellement gain de cause avec le concours d’un mandataire, a droit à une indemnité de dépens, dont le montant doit être déterminé d’après l’importance et la complexité du litige (art. 61 let. g LPGA et 55 al. 1 LPA-VD ; cf. également : art. 11 al. 2 TFJDA). En l’espèce, il y a lieu d’arrêter le montant des dépens à 1’000 fr. à la charge de l’intimée (art. 55 al. 2 LPA-VD). Par ces motifs,</w:t>
      </w:r>
    </w:p>
    <w:p>
      <w:r>
        <w:t>- 25 - la Cour des assurances sociales p r o n o n c e : I. Le recours est partiellement admis. II. La décision sur opposition rendue le 29 décembre 2022 par la Caisse AVS L.________, en tant qu’elle porte sur la soumission à cotisations de l’indemnité pour licenciement abusif de l’employé K.________ et sur la soumission à cotisations de la rémunération de l’agent B.________ est annulée. Elle est maintenue pour le surplus. La cause est renvoyée à l’intimée pour nouvelle décision dans le sens des considérants. III. Les frais judiciaires, arrêtés à 500 fr. (cinq cents francs), sont mis à la charge de la Caisse AVS L.________. IV. La Caisse AVS L.________ versera à H.________ Sàrl la somme de 1’000 fr. (mille francs), à titre de dépens. La présidente : La greffière :</w:t>
      </w:r>
    </w:p>
    <w:p>
      <w:r>
        <w:t>- 26 - Du L'arrêt qui précède, dont la rédaction a été approuvée à huis clos, est notifié à : - Me Arnaud Parreaux (pour H.________ Sàrl), - Caisse AVS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