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ZC22.038541 vom 4. September 2023</w:t>
      </w:r>
    </w:p>
    <w:p>
      <w:r>
        <w:t>VD Tribunal cantonal, 2023-09-04, FR</w:t>
      </w:r>
    </w:p>
    <w:p>
      <w:r>
        <w:rPr>
          <w:b/>
        </w:rPr>
        <w:t xml:space="preserve">Quelle: </w:t>
      </w:r>
      <w:r>
        <w:t>https://mcp.opencaselaw.ch/entscheid/vd_gerichte_ZC22.038541</w:t>
      </w:r>
    </w:p>
    <w:p>
      <w:r>
        <w:t>FR: VD_GERICHTE ZC22.038541 du 4 septembre 2023</w:t>
      </w:r>
    </w:p>
    <w:p>
      <w:r>
        <w:t>IT: VD_GERICHTE ZC22.038541 del 4 settembre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le litige porte sur le point de savoir si l’intimée était en droit de réclamer au recourant des cotisations personnelles pour la période du 1er janvier 2019 au 31 décembre 2019 de 21'734 fr. 40, respectivement de 18'672 fr. (compte tenu d’un montant déjà facturé de 3'062 fr. 40), ainsi que des intérêts moratoires d’un montant de 1'447 fr. 10 pour la période du 1er janvier 2021 au 18 juillet 2022 à un taux de 5 % l’an sur les cotisations rétroactives définitives. Le recourant a également requis qu’il soit donné ordre aux services de taxation d’assimiler les rachats fictifs aux rachats effectifs dans le système de transmission des informations fiscales et que l’intimée doive communiquer à chaque assujetti qui en fait la demande copie des données fiscales. Ces conclusions sont irrecevables, dès lors qu’elles vont au-delà de l’objet de la contestation, tel que défini par la décision attaquée.</w:t>
      </w:r>
    </w:p>
    <w:p>
      <w:r>
        <w:rPr>
          <w:b/>
        </w:rPr>
        <w:t>E. 3</w:t>
      </w:r>
    </w:p>
    <w:p>
      <w:r>
        <w:t>a) Les cotisations perçues sur le revenu provenant de l’exercice d’une activité indépendante sont déterminées et versées périodiquement (art. 14 al. 2 LAVS). Les cotisations sont fixées pour chaque année de cotisation. L’année de cotisation correspond à l’année</w:t>
      </w:r>
    </w:p>
    <w:p>
      <w:r>
        <w:t>- 9 - civile (art. 22 al. 1 RAVS [règlement sur l’assurance-vieillesse et survivants du 31 octobre 1947 ; RS 831.101]). b)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TF 2C_729/2015 du 1er avril 2016 consid. 4.2). L'art. 37b LIFD réserve un traitement fiscal plus favorable au revenu issu d’un bénéfice de liquidation en permettant les rachats réels ou effectifs des prestations réglementaires de la prévoyance professionnelle. Faisant usage de la compétence de préciser l’application de la législation relative à l’impôt fédéral direct (art. 199 LIFD), le Conseil fédéral a détaillé cette disposition dans l’OIBL. D’une part, l’indépendant affilié à une institution de prévoyance peut effectuer des rachats conformément aux dispositions réglementaires de cette institution et aux dispositions légales concernant la prévoyance professionnelle pendant l’année de la liquidation et pendant l’année précédente (art. 4 OIBL). Ces rachats de prévoyance sont d’abord déduits de l’imposition ordinaire de la période fiscale. Si la totalité du rachat ne peut pas être soustraite de ce revenu, le reste est déduit du bénéfice de liquidation. D’autre part, l'indépendant, affilié ou non à une institution de prévoyance, peut demander la prise en compte d’un rachat fictif. Ce montant est imposé d'après le barème de l'art. 38 LIFD, ce qui implique qu'il sera soumis à une imposition séparée, calculée pour une année entière, au taux réduit réservé aux prestations en capital provenant de la prévoyance soit, pour l'impôt fédéral direct, à un taux correspondant à un cinquième des barèmes ordinaires (Circulaire n° 28 de l’Administration fédérale des contributions sur l'imposition des bénéfices de liquidation en cas de cessation définitive de l'activité</w:t>
      </w:r>
    </w:p>
    <w:p>
      <w:r>
        <w:t>- 10 - lucrative indépendante du 3 novembre 2010, n° 4 et 5 p. 5). Cette réglementation purement fiscale ne déploie pas d'effets en matière d'assurance-vieillesse et survivants (Madeleine Simonek, Unternehmensrecht I, Gründung und Aufbau, Sanierung und Liquidation, Zurich 2013, n° 41 p. 381 ; cf. également arrêt de la Cour de droit public du Tribunal cantonal de Neuchâtel du 9 mai 2016 [cause CDP.2014.258] consid. 4b). c) En matière de perception des cotisations sociales, le bénéfice résultant de la liquidation d'une entreprise doit être traité selon la législation sur l'AVS. Selon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du 14 décembre 1990 ; RS 642.11). Les Directives sur les cotisations des travailleurs indépendants et des personnes sans activité lucrative dans l’AVS, AI et APG (DIN) établies par l’Office fédéral des assurances sociales (OFAS) précisent que les bénéfices de liquidation imposés selon l'art. 37b LIFD sont soumis intégralement à cotisations et doivent être communiqués par les autorités fiscales avec les autres revenus provenant de l'activité indépendante (ch. 1089.4 DIN). Selon la jurisprudence, un assuré ne saurait se prévaloir d'une application analogique de l'allègement fiscal introduit par l'art. 37b LIFD, auquel la LAVS ne renvoie précisément pas (TF 9C_572/2018 du 5 novembre 2018 consid. 3.2 et 9C_256/2018 du 19 juillet 2018 consid. 4.2). d) L'art. 17 RAVS formalise une harmonisation entre l’assurance-vieillesse et survivants et le droit fiscal sur la notion de revenu d'une activité indépendante. Ainsi, tous les revenus d'une activité indépendante soumis à l'impôt fédéral direct sont en principe également soumis à cotisations. Dans ce cadre, l'art. 9 al. 3 LAVS, en relation avec l'art. 23 RAVS, prévoit que le revenu provenant d'une activité</w:t>
      </w:r>
    </w:p>
    <w:p>
      <w:r>
        <w:t>- 11 - indépendante est déterminé par les autorités fiscales cantonales en se fondant sur la taxation passée en force de l'impôt fédéral direct (TF 9C_710/2019 du 13 octobre 2020 consid. 4.3 ; 9C_256/2018 du 19 juillet 2018 consid. 4.2).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il appartient aux caisses de compensation de déterminer l'étendue des cotisations qui doivent être prélevées sur les revenus dont l'autorité fiscale a fait état, au regard de la LAVS (TF 9C_256/2018 du 19 juillet 2018 consid. 4.2).</w:t>
      </w:r>
    </w:p>
    <w:p>
      <w:r>
        <w:rPr>
          <w:b/>
        </w:rPr>
        <w:t>E. 4</w:t>
      </w:r>
    </w:p>
    <w:p>
      <w:r>
        <w:t>a) Selon l’art. 14 al. 4 let. c LAVS, le Conseil fédéral édicte des dispositions sur le paiement a posteriori de cotisations non versées. Faisant usage de cette compétence, le Conseil fédéral a notamment édicté l’art. 41bis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 consid. 3 ; 139 V 297 consid. 3.3.2.1). La lettre f de l’alinéa premier de l'art. 41bis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w:t>
      </w:r>
    </w:p>
    <w:p>
      <w:r>
        <w:t>- 12 - cotisations définitives et de réclamer le paiement de la différence (ATF 134 V 405 consid. 7.2 à 7.4). L'art. 41bis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w:t>
      </w:r>
    </w:p>
    <w:p>
      <w:r>
        <w:t>- 13 - 134 V 202 consid. 3.1 ; TF 9C_531/2015 du 22 mars 2016 consid. 4 et 9C_119/2013 du 29 août 2013 consid. 7.1). Bien au contraire, la dette de cotisations naît ex lege,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w:t>
      </w:r>
    </w:p>
    <w:p>
      <w:r>
        <w:rPr>
          <w:b/>
        </w:rPr>
        <w:t>E. 5</w:t>
      </w:r>
    </w:p>
    <w:p>
      <w:r>
        <w:t>Il convient tout d’abord de déterminer le montant des cotisations personnelles dues par le recourant pour son activité en tant qu'indépendant, plus particulièrement le montant du revenu déterminant sur lequel elles ont été calculées pour 2019, fixé par l'autorité fiscale et communiqué à l'intimée. a) En l’espèce, l’intimée s’est référée à la communication de l’administration fiscale du 1er juillet 2022 dans laquelle figurait, à titre de revenu de l’activité indépendante, un montant de 5'502 fr. réalisé en 2019 jusqu’à la cessation de l’activité et un montant de 172'379 fr. de bénéfice en capital, soit un montant total de 177'881 francs. La décision d’imposition n’a pas été contestée par le recourant, de sorte que les données concernant la fixation du revenu déterminant lient l’intimée, respectivement l’autorité de céans. C’est dès lors à raison que l’intimée ne s’est pas écartée du revenu communiqué par l’administration fiscale.</w:t>
      </w:r>
    </w:p>
    <w:p>
      <w:r>
        <w:t>- 14 - b) Pour rendre la décision sur opposition litigieuse, l’intimée s’est conformée aux dispositions du droit en vigueur et aux principes jurisprudentiels, en tenant compte non seulement du revenu tiré de l'activité lucrative indépendante en 2019, mais aussi du montant lié à la cessation de cette activité. aa) Le recourant ne peut pas être suivi lorsqu’il soutient que les rachats de prévoyance et les rachats fictifs sont traités de façon identique sur le plan des cotisations sociales. En effet, à défaut d'une disposition dans la LAVS prévoyant la transposition des principes consacrés par l’art. 37b LIFD – que l’OIBL met en œuvre – à la détermination des revenus soumis à cotisations, les règles fiscales ne s’appliquent pas à l’assurance-vieillesse et survivants. Ainsi, en application de l’art. 17 RAVS, tous les revenus provenant d’une activité indépendante soumis à l’impôt fédéral direct sont également soumis à cotisations. Ces revenus sont d’abord déterminés par les autorités fiscales. Les montants retenus lient les caisses de compensation qui ensuite fixent les cotisations dues (art. 23 al. 4 RAVS). Le caractère obligatoire de ces données concerne le montant du revenu déterminant, mais n’inclut pas la question de savoir dans quelle mesure celui-ci est soumis à cotisations. A cet égard, la jurisprudence retient que la totalité du bénéfice de liquidation est soumis à cotisations (cf. consid. 3c supra). bb) En l’occurrence, il importe peu de savoir si le bénéfice en capital contient un rachat fictif ou non, dès lors qu’il doit être soumis à cotisations dans son intégralité. Le rachat fictif prévu par l’art. 37b LIFD se justifie pour des raisons purement fiscales. Il ne repose pas sur des objectifs de prévoyance, contrairement à ce qu’affirme le recourant. Il permet de rompre la progressivité du taux d’imposition dans le but d’éviter une charge disproportionnée (Madeleine Simonek, op. cit., n° 41 p. 381). Comme l’a rappelé le Conseil fédéral, dès lors que le taux de cotisation est linéaire en matière d’AVS, un tel intérêt n’existe pas. De surcroît, une déduction du montant qualifié fiscalement de rachat fictif ne serait pas dans l'intérêt des assurés, parce qu'elle pourrait entraîner une baisse des prestations du 1er pilier (cf. réponse du Conseil fédéral à l’interpellation déposée le 17 septembre 2019 par Pierre-André Page</w:t>
      </w:r>
    </w:p>
    <w:p>
      <w:r>
        <w:t>- 15 - intitulée « Adaptation de l'AVS pour les indépendants en fin d'activité » [objet 18.3770]). d) En définitive, c’est à juste titre que l’intimée a tenu compte de l’ensemble des revenus réalisés par le recourant en qualité d’indépendant pour calculer les cotisations personnelles dues pour la période du 1er janvier au 31 décembre 2019. Le calcul du montant des cotisations en tant que tel n’est pas contesté et n’apparaît pas critiquable. Il peut être confirmé.</w:t>
      </w:r>
    </w:p>
    <w:p>
      <w:r>
        <w:rPr>
          <w:b/>
        </w:rPr>
        <w:t>E. 6</w:t>
      </w:r>
    </w:p>
    <w:p>
      <w:r>
        <w:t>S’agissant des intérêts moratoires, il est constant et non contesté que les acomptes payés sur les cotisations personnelles pour l’année 2019 étaient inférieurs de plus de 25 % aux montants effectivement dus par le recourant. De même, il est patent que le complément de cotisations dû n’a pas été versé jusqu'au 1er janvier après la fin de l’année civile suivant l’année de cotisations – autrement dit, pour les cotisations 2019, avant le 1er janvier 2021. Partant, c’est à juste titre que l’intimée a réclamé des intérêts moratoires pour la période du 1er janvier 2021 au 18 juillet 2022 en application de l’art. 41bis al. 1 let. f RAVS, ces intérêts courant au taux légal de 5 % (art. 42 al. 2 RAVS). Pour le surplus, le calcul des intérêts moratoires en tant que tel n’est pas critiqué. Vérifié d’office, le montant doit être confirmé.</w:t>
      </w:r>
    </w:p>
    <w:p>
      <w:r>
        <w:rPr>
          <w:b/>
        </w:rPr>
        <w:t>E. 7</w:t>
      </w:r>
    </w:p>
    <w:p>
      <w:r>
        <w:t>a) Compte tenu de ce qui précède, le recours doit être rejeté et la décision sur opposition rendue le 24 août 2022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w:t>
      </w:r>
    </w:p>
    <w:p>
      <w:r>
        <w:t>- 16 - c) Il n’y a pas lieu d’allouer de dépens à la partie recourante, qui n’obtient pas gain de cause (art. 61 let. g LPGA). Par ces motifs, la juge unique p r o n o n c e : I. Le recours est rejeté. II. La décision sur opposition rendue le 24 août 2022 par la Caisse cantonale vaudoise de compensation AVS est confirmée. III. Les frais judiciaires, arrêtés à 600 fr. (six cents francs), sont mis à la charge de E.________. IV. Il n’est pas alloué de dépens. La juge unique : Le greffier : Du L'arrêt qui précède est notifié à : - [...] (pour E.________), - Caisse cantonale vaudoise de compensation AVS,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