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ZC22.009089 vom 29. April 2024</w:t>
      </w:r>
    </w:p>
    <w:p>
      <w:r>
        <w:t>VD Tribunal cantonal, 2024-04-29, FR</w:t>
      </w:r>
    </w:p>
    <w:p>
      <w:r>
        <w:rPr>
          <w:b/>
        </w:rPr>
        <w:t xml:space="preserve">Quelle: </w:t>
      </w:r>
      <w:r>
        <w:t>https://mcp.opencaselaw.ch/entscheid/vd_gerichte_ZC22.009089</w:t>
      </w:r>
    </w:p>
    <w:p>
      <w:r>
        <w:t>FR: VD_GERICHTE ZC22.009089 du 29 avril 2024</w:t>
      </w:r>
    </w:p>
    <w:p>
      <w:r>
        <w:t>IT: VD_GERICHTE ZC22.009089 del 29 aprile 2024</w:t>
      </w:r>
    </w:p>
    <w:p>
      <w:pPr>
        <w:pStyle w:val="Heading2"/>
      </w:pPr>
      <w:r>
        <w:t>Erwägungen</w:t>
      </w:r>
    </w:p>
    <w:p>
      <w:r>
        <w:rPr>
          <w:b/>
        </w:rPr>
        <w:t>E. 6</w:t>
      </w:r>
    </w:p>
    <w:p>
      <w:r>
        <w:t>a) En définitive, le recours doit être admis, la décision querellée annulée et la cause renvoyée à l’intimée pour instruction complémentaire, corrections et nouvelle décision, s’agissant des revenus et de la fortune déterminants en 2019 pour fixer les cotisations personnelles AVS/AI/APG dues par le recourant pour la période du 1er janvier au 31 octobre 2019. b) Il n’y a pas lieu de percevoir de frais judiciaires (art. 61 let. a LPGA). c) Vu le sort de ses conclusions, le recourant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La liste des opérations du 19 décembre 2022 produite par Me Bacon ne peut en effet être entièrement suivie. L’activité déployée dépasse ce qu’admet la pratique de la Cour de céans dans l’estimation du temps objectivement requis pour le traitement de cas de ce genre eu égard à l’importance, à la valeur et à la complexité du litige. En particulier, la comptabilisation de plus de trois heures pour la rédaction du recours de quatre pages et de deux heures pour la rédaction d’une réplique après admission d’une erreur par la partie intimée est manifestement excessive, alors que la question de la fortune n’a pas été discutée nonobstant une</w:t>
      </w:r>
    </w:p>
    <w:p>
      <w:r>
        <w:t>- 11 - conclusion en réforme. L’indemnité de dépens est mise intégralement à la charge de l’intimée. d) Le recourant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juge unique p r o n o n c e : I. Le recours est admis. II. La décision sur opposition rendue le 2 février 2022 par la Caisse AVS de la B.________ est annulée, la cause lui étant renvoyée pour complément d’instruction, corrections, puis nouvelle décision dans le sens des considérants. III. Il n’est pas perçu de frais judiciaires. IV. La Caisse AVS de la B.________ versera à G.________ un montant de 1'200 fr. (mille deux cents francs), à titre de dépens. La juge unique : La greffière : Du</w:t>
      </w:r>
    </w:p>
    <w:p>
      <w:r>
        <w:t>- 12 - L'arrêt qui précède est notifié à : - Me Christian Bacon (pour le recourant), - Caisse AVS de la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