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ZC21.020364 vom 17. Januar 2022</w:t>
      </w:r>
    </w:p>
    <w:p>
      <w:r>
        <w:t>VD Tribunal cantonal, 2022-01-17, FR</w:t>
      </w:r>
    </w:p>
    <w:p>
      <w:r>
        <w:rPr>
          <w:b/>
        </w:rPr>
        <w:t xml:space="preserve">Quelle: </w:t>
      </w:r>
      <w:r>
        <w:t>https://mcp.opencaselaw.ch/entscheid/vd_gerichte_ZC21.020364</w:t>
      </w:r>
    </w:p>
    <w:p>
      <w:r>
        <w:t>FR: VD_GERICHTE ZC21.020364 du 17 janvier 2022</w:t>
      </w:r>
    </w:p>
    <w:p>
      <w:r>
        <w:t>IT: VD_GERICHTE ZC21.020364 del 17 gennaio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présent recours porte sur la question de savoir si la Caisse intimée était fondée à réclamer paiement à la recourante d’intérêts moratoires portant sur les cotisations sociales 2020 pour la période entre le 8 janvier et le 29 mars 2021, singulièrement sur la date déterminante de la notification du décompte final 2020.</w:t>
      </w:r>
    </w:p>
    <w:p>
      <w:r>
        <w:rPr>
          <w:b/>
        </w:rPr>
        <w:t>E. 3</w:t>
      </w:r>
    </w:p>
    <w:p>
      <w:r>
        <w:t>Aux termes de l’art. 14 al. 1 LAVS, les cotisations perçues sur le revenu provenant de l’exercice d’une activité dépendante sont retenues lors de chaque paie. Elles doivent être versées périodiquement par l’employeur en même temps que la cotisation d’employeur. Les créances de cotisations échues sont soumises à la perception d'intérêts moratoires (art. 26 al. 1 LPGA en relation avec l'art. 41bis RAVS [règlement du 31</w:t>
      </w:r>
    </w:p>
    <w:p>
      <w:r>
        <w:t>- 5 - octobre 1947 sur l’assurance-vieillesse et survivants ; RS 831.101]).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3.1 ; TF 9C_531/2015 du 22 mars 2016 consid. 4 ; TF 9C_119/2013 du 29 août 2013 consid. 7.1).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En vertu de l’art. 41bis LAVS, doivent notamment payer des intérêts moratoires les employeurs sur les cotisations à payer sur la base du décompte qu’ils ne versent pas dans les trente jours à compter de la facturation, dès la facturation par la caisse de compensation (al. 1 let. c). En d’autres termes, la date déterminante est celle à laquelle la facture est établie et non celle de sa remise à son destinataire (voir DP [Directives sur la perception des cotisations dans l’AVS, AI et APG édictées par l’ Office fédéral des assurances sociales] 4001 ss, spéc. 4006 à 4044). L’art. 41bis al. 2 RAVS prévoit en outre que les intérêts moratoires cessent de courir lorsque les cotisations sont intégralement payées. Les cotisations sont réputées payées lorsqu'elles parviennent à la caisse de compensation (art. 42 al. 1 RAVS ; parmi d’autres : TF 9C_119/2013 du 29 août 2013 consid. 7.1). Le taux des intérêts moratoires s’élève à 5 % par années (art. 42 al. 2 RAVS).</w:t>
      </w:r>
    </w:p>
    <w:p>
      <w:r>
        <w:t>- 6 -</w:t>
      </w:r>
    </w:p>
    <w:p>
      <w:r>
        <w:rPr>
          <w:b/>
        </w:rPr>
        <w:t>E. 4</w:t>
      </w:r>
    </w:p>
    <w:p>
      <w:r>
        <w:t>L’assureur doit rendre par écrit les décisions qui portent sur des prestations, créances ou injonctions importantes avec lesquelles l’intéressé n’est pas d’accord (art. 49 al. 1 LPGA). S’agissant de la communication de sa décision à l’assuré, l’assureur est libre de choisir la voie par laquelle il entend la lui adresser, du moment que l’assuré est en mesure d’en prendre connaissance. L’assureur n’est en particulier pas tenu d’utiliser la voie du courrier recommandé ; un envoi sous pli simple suffit (ATF 142 III 599 consid. 2.4.1 ; Valérie Défago Gaudin, in Anne-Sylvie Dupont/Margrit Moser-Szeless (édit.), Loi sur la partie générale des assurances sociales, Commentaire romand, Bâle 2018, n° 40 ad art. 49 LPGA). S’agissant d’un acte soumis à réception, la décision est considérée valablement notifiée au moment où elle entre dans la sphère de puissance de l’assuré et que ce dernier est à même d’en prendre connaissance. Il n’est pas nécessaire qu’il en ait effectivement connaissance (Défago Gaudin, ibidem et les références citées). Selon la jurisprudence, la preuve de la notification d’une décision administrative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124 V 400 consid. 2a). Dans le cadre d’une administration de masse, c’est la règle du degré de la vraisemblance prépondérante qui prévaut en ce qui concerne la notification (idem). La notification irrégulière d’une décision ne doit entraîner aucun préjudice pour l’intéressé (art. 49 al. 3 in fine LPGA). Le principe de la bonne foi, dont découle cette règle, sert à arbitrer entre le besoin de protection juridique de l’assuré, d’une part, et la sécurité juridique, d’autre part (Défago Gaudin, op. cit., n° 42 ad art. 49 LPGA et les références citées). Le défaut de notification n’est susceptible d’entraîner des conséquences que dans la mesure où il a causé une erreur préjudiciable à son destinataire ; en effet, la protection juridique des parties est</w:t>
      </w:r>
    </w:p>
    <w:p>
      <w:r>
        <w:t>- 7 - suffisamment réalisée lorsque la notification irrégulière atteint son but malgré cette irrégularité (ATF 122 V 189 consid. 2 ; 111 V 149 consid. 4c). La conséquence de l’irrégularité dépend des circonstances. La décision dont la notification est irrégulière n’est en principe pas nulle (ATF 111 V 149 consid. 4c). Le plus souvent, la décision est annulable de sorte que c’est par la voie de l’opposition ou du recours que l’irrégularité de la notification doit être soulevée (Défago Gaudin, op. cit., n°43 ad art. 49 LPGA).</w:t>
      </w:r>
    </w:p>
    <w:p>
      <w:r>
        <w:rPr>
          <w:b/>
        </w:rPr>
        <w:t>E. 5</w:t>
      </w:r>
    </w:p>
    <w:p>
      <w:r>
        <w:t>a) En l’occurrence, la recourante conteste être débitrice du montant de 195 fr. 15 qui lui est réclamé par la Caisse au titre d’intérêts moratoires pour la période du 8 janvier 2021 au 29 mars 2021. Elle affirme que, dans la mesure où le décompte du 8 janvier 2020 fondant la décision du 31 mars 2021 ne lui a pas été envoyé à l’adresse de son siège mais à celle de sa succursale pourtant radiée du registre du commerce, cette première notification serait non-avenue. La recourante allègue ainsi que le délai pour procéder au paiement de 17'348 fr. n’aurait commencé à courir qu’ensuite de la notification du décompte litigieux à son adresse du [...], laquelle est survenue le 11 mars 2021. b) L’intimée affirme dans sa réponse qu’elle a utilisé l’adresse de la recourante à [...] pour donner suite à une demande de la société qui n’aurait jamais été révoquée. Les pièces produites à cet égard ne suffisent pas à prouver ce fait puisqu’elles ne relèvent que de communications internes à l’intimée. Cette question peut cependant rester en suspens. En effet, seule demeure pertinente la question de savoir si et, cas échéant, à quelle date, le décompte litigieux est entré dans la sphère d’influence de son destinataire (cf. consid. 4 supra). La recourante ne conteste pas avoir reçu le décompte qui a été envoyé à l’adresse de sa succursale le 8 janvier 2021. Elle prétend qu’elle l’aurait réceptionné le 18 janvier 2021, date figurant sur le timbre humide qu’elle y a apposé. Cependant, comme le relève la Caisse intimée, on peut s’étonner de cette affirmation dès lors que la recourante s’est</w:t>
      </w:r>
    </w:p>
    <w:p>
      <w:r>
        <w:t>- 8 - opposée au décompte en question le 13 janvier 2021 déjà soit – si l’on suit ses affirmations – cinq jours avant qu’elle ne l’ait reçu. L’envoi du 13 janvier 2021 à la [...] adressé en copie à la Caisse ne laisse planer aucun doute quant au fait que la recourante avait à cette date pris connaissance du contenu du décompte du 8 janvier 2021 puisqu’elle s’y est référée expressément. C’est le lieu de relever qu’il ressort des pièces au dossier qu’après la radiation de la succursale de [...] au registre du commerce, des courriers relatifs à la société ont été envoyés depuis cette adresse et y étaient encore reçus. En conclusion, il y a lieu de retenir que la Caisse a rendu vraisemblable au degré requis que le décompte marquant le dies a quo du délai de paiement des 17'348 fr. a été porté à la connaissance de la recourante le 13 janvier 2021 au plus tard. Partant, la facture litigeuse du</w:t>
      </w:r>
    </w:p>
    <w:p>
      <w:r>
        <w:rPr>
          <w:b/>
        </w:rPr>
        <w:t>E. 8</w:t>
      </w:r>
    </w:p>
    <w:p>
      <w:r>
        <w:t>janvier 2021, réputée notifiée le 13 janvier suivant, a fait courir un délai de paiement à trente jours, date à laquelle le versement n’avait pas encore été effectué. c) Le décompte des intérêts moratoires tel qu’effectué par la Caisse dans sa décision du 31 mars 2021 échappe à la critique. Il retient en effet des intérêts moratoires dus dès la date de la facture et jusqu’à la date du paiement du montant réclamé (cf. consid. 3 supra). Le calcul du montant des intérêts, non contesté par la recourante, peut également être confirmé, étant précisé que de jurisprudence constante, les intérêts moratoires constituent l’accessoire de la créance principale et ne cessent pas de courir en cas de contestation de cette dernière, de sorte que l’opposition de la recourante du 13 janvier 2021 est sans incidence sur le nombre de jours de retard. 6. Le dossier est complet et permet à la Cour de céans de statuer en pleine connaissance de cause. Il n’y a dès lors pas lieu de compléter l’instruction comme le requiert l’intimée par l’audition de témoins. En effet, ces mesures d’instruction ne seraient pas de nature à modifier les considérations qui précèdent puisque les faits pertinents ont pu être constatés à satisfaction de droit (appréciation anticipée des preuves ; ATF</w:t>
      </w:r>
    </w:p>
    <w:p>
      <w:r>
        <w:t>- 9 - 130 II 425 c. 2.1 ; 122 II 464 consid. 4a ; TF 9C_748/2013 du 10 février 2014 consid. 4.2.1 ; TF 8C_361/2009 du 3 mars 2010 consid. 3.2). 7. a) Compte tenu de ce qui précède, le recours doit être rejeté et la décision rendue le 15 avril 2021 confirmée. b) La procédure ne porte pas sur l’octroi ou le refus de prestations d’assurance au sens de l’art. 61 let. fbis LPGA. Elle donne lieu à la perception de frais de justice, qu’il convient de mettre à la charge de la recourante qui succombe (art. 45 et 49 al. 1 LPA-VD ; art. 1 al. 1 TFJDA [tarif du 28 avril 2015 des frais judiciaires et des dépens en matière administrative ; BLV 173.36.5.1]). Les frais sont fixés à 200 fr. compte tenu de l’importance et de la difficulté de la cause (art. 4 al. 1 TFJDA). c) L’intimée n’a pas droit à des dépens, dès lors qu’elle a agi en qualité d’institution chargée de tâches de droit public (ATF 126 V 143 consid. 4 ; voir également ATF 128 V 323). Par ces motifs, le juge unique p r o n o n c e : I. Le recours est rejeté. II. La décision sur opposition rendue le 15 avril 2021 est confirmée. III. Les frais judiciaires, arrêtés à 200 fr. (deux cents francs), sont mis à la charge de P.________. IV. Il n’est pas alloué de dépens. Le juge unique : La greffière :</w:t>
      </w:r>
    </w:p>
    <w:p>
      <w:r>
        <w:t>- 10 - Du L'arrêt qui précède, dont la rédaction a été approuvée à huis clos, est notifié à : - P.________, -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