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ZC20.050877 vom 22. Februar 2022</w:t>
      </w:r>
    </w:p>
    <w:p>
      <w:r>
        <w:t>VD Tribunal cantonal, 2022-02-22, FR</w:t>
      </w:r>
    </w:p>
    <w:p>
      <w:r>
        <w:rPr>
          <w:b/>
        </w:rPr>
        <w:t xml:space="preserve">Quelle: </w:t>
      </w:r>
      <w:r>
        <w:t>https://mcp.opencaselaw.ch/entscheid/vd_gerichte_ZC20.050877</w:t>
      </w:r>
    </w:p>
    <w:p>
      <w:r>
        <w:t>FR: VD_GERICHTE ZC20.050877 du 22 février 2022</w:t>
      </w:r>
    </w:p>
    <w:p>
      <w:r>
        <w:t>IT: VD_GERICHTE ZC20.050877 del 22 febbraio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w:t>
      </w:r>
    </w:p>
    <w:p>
      <w:r>
        <w:rPr>
          <w:b/>
        </w:rPr>
        <w:t>E. 2</w:t>
      </w:r>
    </w:p>
    <w:p>
      <w:r>
        <w:t>Le litige porte sur la responsabilité de la recourante dans le préjudice subi par l’intimée en raison du non-paiement des cotisations paritaires dues par la société I.________ Sàrl pour l’année 2013.</w:t>
      </w:r>
    </w:p>
    <w:p>
      <w:r>
        <w:rPr>
          <w:b/>
        </w:rPr>
        <w:t>E. 3</w:t>
      </w:r>
    </w:p>
    <w:p>
      <w:r>
        <w:t>La recourante soulève en premier lieu l’exception de la prescription. a) Une réforme des règles sur la prescription des prétentions découlant d’un acte illicite ou d’un enrichissement illégitime est entrée en vigueur le 1er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sur opposition (ATF 144 V 210 consid. 4.3.1), sous réserve de motifs particuliers imposant exceptionnellement l’application immédiate du nouveau droit (ATF 136 V 24 consid. 4.3 ; 119 Ib 103 consid. 5). En l’occurrence, la décision sur opposition ayant été rendue le 17 novembre 2020, il convient d’appliquer les nouvelles règles sur la prescription des prétentions découlant d’un acte illicite ou d’un</w:t>
      </w:r>
    </w:p>
    <w:p>
      <w:r>
        <w:t>- 9 - enrichissement illégitime, étant précisé que les délais ayant commencé à courir sous l’ancien droit n’étaient pas échus à l’entrée en vigueur du nouveau droit.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w:t>
      </w:r>
    </w:p>
    <w:p>
      <w:r>
        <w:t>- 10 - pour être consulté (ATF 129 V 193 consid. 2.1 et 2.3 et les références citées). La prescription absolue de dix ans part du jour où le fait dommageable s’est produit. Ainsi, si la faillite d’une société est prononcée plus de dix ans après le fait dommageable, la responsabilité de l’employeur telle que définie par l’art. 52 LAVS peut être prescrite (voir à cet égard ATF 102 II 353 consid. 2a portant sur les délais de prescriptions prévus à l’art. 760 CO dont la teneur est identique à l’art. 52 al. 3 LAVS).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l'assurance- vieillesse et survivants [AVS] et de l'assurance-invalidité [AI], commentaire thématique, Zurich 2011, ch. 2450 ss). c) En l’espèce, les faits déterminants coïncident avec la date de la survenance du dommage, lequel est réputé survenu au moment de l’avènement de la péremption (de la créance) ou le jour de la faillite. En ce qui concerne le moment de la connaissance du dommage en cas de faillite, la jurisprudence retient généralement celui du dépôt de l’état de collocation, ou celui de la publication de la liquidation de la faillite faute d’actifs (ATF 129 V 193 consid. 2.3 et considérant 3b ci-dessus). Le système de ventilation des opérations au compte de la société I.________ Sàrl par la Caisse entraîne pour conséquence que ce sont les cotisations de l’année 2013 qui sont litigieuses. Le délai de péremption des cotisations est de cinq ans (art. 24 al. 1 LPGA). Il venait à échéance le 31 décembre 2018. A cette date-là, la faillite avait cependant déjà été prononcée (11 mars 2016). Le motif de dissolution de la société à l’origine</w:t>
      </w:r>
    </w:p>
    <w:p>
      <w:r>
        <w:t>- 11 - de la procédure de faillite ne permettait cependant pas à l’intimée de déjà connaître l’existence d’un dommage. Dans le cas présent, il doit être retenu que le dommage était connu à la date de la suspension de la faillite, soit le 3 mai 2017. Le délai de prescription de deux ans a été interrompu par la décision du 30 avril 2019, soit moins de deux ans après la décision du 3 mai 2017 de suspension de la faillite faute d’actif. Le délai absolu de cinq ans n’était pas encore prescrit au 1er janvier 2020, date de la modification législative. Le délai absolu passe ainsi à dix ans et son point de départ n’est pas la date du prononcé de faillite mais le 31 décembre 2013 (échéance de paiement des cotisations 2013) puisque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La prescription n’est donc pas acquise. En conséquence, le moyen de la recourante tiré de la prescription doit être écarté.</w:t>
      </w:r>
    </w:p>
    <w:p>
      <w:r>
        <w:rPr>
          <w:b/>
        </w:rPr>
        <w:t>E. 4</w:t>
      </w:r>
    </w:p>
    <w:p>
      <w:r>
        <w:t>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Aux termes de l’art. 52 al. 1 LAVS, l’employeur qui, intentionnellement ou par négligence grave, n’observe pas des</w:t>
      </w:r>
    </w:p>
    <w:p>
      <w:r>
        <w:t>- 12 -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aa)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bb)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w:t>
      </w:r>
    </w:p>
    <w:p>
      <w:r>
        <w:t>- 13 - cc)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dd) Dans le cas d’une société à responsabilité limitée,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TF 9C_344/2011 du 3 février 2012 consid. 3.2 ; TFA H 252/01 du 14 mai 2002, in VSI 2002 p. 176 s. consid. 3b et d). ee)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w:t>
      </w:r>
    </w:p>
    <w:p>
      <w:r>
        <w:t>- 14 -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aa)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bb)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w:t>
      </w:r>
    </w:p>
    <w:p>
      <w:r>
        <w:t>- 15 -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Lorsqu’il s’agit de juger de l’existence d’un lien de causalité adéquate entre une ou des omissions et un dommage, il convient de s’interroger sur le cours hypothétique qu’auraient pris les événements si l’organe incriminé avait agi conformément à ses devoirs. Le lien de causalité n’est pas réalisé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 4).</w:t>
      </w:r>
    </w:p>
    <w:p>
      <w:r>
        <w:t>- 16 -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 TF H 76/06 du 11 juillet 2007 consid. 7.2). En d’autres termes, la responsabilité du nouvel administrateur pour le dommage causé avant son entrée en fonction n’est pas engagée s’il ne pouvait rien faire pour réparer ce dommage, car la société était déjà à ce point endettée que, pour des motifs de fait ou de droit, les charges sociales étaient déjà irrécupérables (TF 9C_841/2010 du 22 septembre 2011 consid. 4, in SJ 2012 p. 133, 135 et les références).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w:t>
      </w:r>
    </w:p>
    <w:p>
      <w:r>
        <w:rPr>
          <w:b/>
        </w:rPr>
        <w:t>E. 05</w:t>
      </w:r>
    </w:p>
    <w:p>
      <w:r>
        <w:t>à l’entrée en fonction de la recourante, n’a cessé de croître jusqu’au 12 mars 2014 (58'397 fr. 35) avant de régresser. Il paraît ressortir du relevé de compte des arriérés qu’il n’existait plus d’activité salariée depuis 2015. En effet, le décompte de cotisations pour le quatrième trimestre de l’année 2014 fait encore état d’un montant de 6'229 fr. 15 à ce titre, alors que ces mêmes décomptes pour les mois de juin 2015 et juin 2016 indiquent un montant nul, ce que confirme le compte 20993 AVS. bb) S’il doit être admis que la recourante a effectivement tenté de redresser la situation (licenciements, réduction de salaire, etc.), il ne pouvait lui échapper que les difficultés financières de la société n’étaient pas que provisoires. Elle ne soutient au demeurant pas qu’elle était dans l’expectative d’une augmentation de capital ou toute autre entrée d’argent qui auraient permis d’en assainir les finances au point de solder le retard de cotisations. Il lui incombait en de telles circonstances de prendre les mesures nécessaires à la réduction du dommage (intervention auprès de l’associé-gérant, convocation de l’assemblée des associés, cas échéant avis de surendettement au juge, etc.). cc) La recourante ne peut pas non plus exciper des prélèvements indus qu’auraient pu effectuer feu G.________ alors directeur de la société I.________ Sàrl Ces opérations lui étaient apparemment connues puisqu’elles étaient reportées dans le compte courant « actionnaire » (compte 1037). Elle ne se prévaut pas d’une quelconque intervention, notamment auprès de l’associé gérant ou en provoquant une assemblée des associés en vue de la révocation de ce directeur, pour limiter la dette de feu G.________ à l’égard de la société. Sa passivité à l’égard de ce dernier a contribué à diminuer les actifs disponibles. C’est le lieu de préciser ici que si la recourante se trouvait dans l’incapacité, en particulier en raison de l’attitude de feu G.________, de remplir son mandat et de prendre les mesures adéquates, elle aurait dû démissionner plus vite (cf. sur ce point TF 9C_713/2013 du 30 mai 2014 consid. 4.2.3). Dans ces conditions, il n’y a pas lieu de donner suite aux mesures d’instruction formulées par la recourante et tendant à la production des dossiers</w:t>
      </w:r>
    </w:p>
    <w:p>
      <w:r>
        <w:t>- 19 - pénaux relatifs aux agissements du directeur prénommé, dès lors que ces documents n’apparaissent pas déterminants pour l’issue du litige (sur l’appréciation anticipée des preuves, cf. ATF 144 II 427 consid. 3.1.3 ; 140 I 285 consid. 6.3.1). c) Il convient encore de se prononcer sur le montant de la créance en réparation du dommage dont le paiement a été réclamé à la recourante. Dans la mesure où il se rapporte aux cotisations impayées de l’année 2013 au cours de laquelle la recourante était organe de fait et de droit de la société I.________ Sàrl, il n’y a aucun motif de s’écarter du montant de 25'245 fr. 80 retenu dans la décision sur opposition attaquée. d) Sur le vu de ce qui précède, il convient de retenir que la recourante n’a pas fait preuve de la diligence requise au regard des obligations qui lui incombaient en matière d’AVS, qu’elle a eu un comportement constitutif d’une négligence grave et que sa responsabilité, au sens de l’art. 52 LAVS, dans le préjudice subi par l’intimée est pleinement engagée.</w:t>
      </w:r>
    </w:p>
    <w:p>
      <w:r>
        <w:rPr>
          <w:b/>
        </w:rPr>
        <w:t>E. 5</w:t>
      </w:r>
    </w:p>
    <w:p>
      <w:r>
        <w:t>D’après le décompte versé au dossier de l’intimée, il apparaît que la société I.________ Sàrl ne s’est pas acquittée des cotisations qu’elle devait à l’intimée pour l’année 2013 pour un montant total de 25'245 fr. 80. a) En l’occurrence, il n’est pas contesté que la recourante a été directrice adjointe et associée avec signature individuelle de la société I.________ Sàrl du 27 avril 2012 au 21 juillet 2015, puis associée sans signature dès cette date jusqu’à la dissolution en raison de carence dans l’organisation de la société (art. 713b al. 1 ch. 3 CO, auquel renvoie l’art. 819 CO) avec liquidation par voie de faillite. Elle a cédé ses parts le 30 avril 2015 à feu G.________.</w:t>
      </w:r>
    </w:p>
    <w:p>
      <w:r>
        <w:t>- 17 - En sus d’être associée, la responsabilité de la recourante est engagée en qualité d’organe de fait (directrice) de la société I.________ Sàrl du 27 avril 2012 au 21 juillet 2015 (cf. considérant 4b/cc ci-dessus). Si elle a tenté au stade de l’opposition de contester sa qualité d’organe de fait, tel n’est plus le cas au stade du recours (cf. mémoire de recours du 18 décembre 2020, p. 5). C’est d’ailleurs elle qui signe la déclaration des salaires pour l’année 2013. b) Cela constaté, se pose la question de savoir si la recourante peut être tenue responsable du dommage causé à l’intimée, du fait du non-paiement des cotisations sociales afférentes à l’année 2013. Pour admettre la responsabilité de la recourante, il ne suffit pas de se limiter à la constatation que les cotisations n’ont pas été payées, encore faut-il établir que l’intéressée a, d’une part, violé intentionnellement ou par négligence grave ses devoirs et, d’autre part, qu’il existe un lien de causalité adéquate entre le manquement qui lui est imputable et le préjudice causé. La recourante soutient qu’elle n’a fait que tenter de redresser une situation déjà critique et que la société était déjà surendettée au moment de son entrée en fonction de sorte que sa faillite était inévitable. aa) A l’examen du bilan final de l’exercice 2011, soit le dernier bilan avant l’entrée en fonction de la recourante, la société I.________ Sàrl n’était pas en situation de surendettement au sens de l’art. 725 CO – applicable par analogie en vertu de l’art. 820 CO –, quand bien même il existait déjà un arriéré de cotisations. La recourante ne peut donc se dégager de sa responsabilité sur la base de la jurisprudence relative au surendettement (cf. considérant 4d ci-dessus), d’autant plus que l’exercice 2011 était bénéficiaire nonobstant l’arriéré de cotisations. En l’espèce, le décompte de cotisations de la société, inscrite au registre du commerce depuis le 21 septembre 2010, présentait déjà un</w:t>
      </w:r>
    </w:p>
    <w:p>
      <w:r>
        <w:t>- 18 - solde débiteur de 18’607 fr. 50 au 1er janvier 2012. Il atteignait 20'489 fr.</w:t>
      </w:r>
    </w:p>
    <w:p>
      <w:r>
        <w:rPr>
          <w:b/>
        </w:rPr>
        <w:t>E. 6</w:t>
      </w:r>
    </w:p>
    <w:p>
      <w:r>
        <w:t>En définitive, le recours, mal fondé, doit être rejeté et la décision sur opposition litigieuse confirmée.</w:t>
      </w:r>
    </w:p>
    <w:p>
      <w:r>
        <w:rPr>
          <w:b/>
        </w:rPr>
        <w:t>E. 7</w:t>
      </w:r>
    </w:p>
    <w:p>
      <w:r>
        <w:t>Il n’y a pas lieu de percevoir de frais judiciaires (art. 61 let. a LPGA dans sa teneur en vigueur jusqu’au 31 décembre 2020, applicable conformément à l’art. 82a LPGA), ni d’allouer de dépens à la partie recourante, qui n’obtient pas gain de cause (art. 61 let. g LPGA).</w:t>
      </w:r>
    </w:p>
    <w:p>
      <w:r>
        <w:t>- 20 - Par ces motifs, la juge unique p r o n o n c e : I. Le recours est rejeté. II. La décision sur opposition rendue le 17 novembre 2020 par la Caisse AVS de la Fédération patronale vaudoise est confirmée. III. Il n’est pas perçu de frais judiciaires ni alloué de dépens. La juge unique : Le greffier : Du</w:t>
      </w:r>
    </w:p>
    <w:p>
      <w:r>
        <w:t>- 21 - L'arrêt qui précède est notifié à : - Me Matthieu Genillod, avocat (pour B.________),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