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ZC20.013426 vom 22. März 2021</w:t>
      </w:r>
    </w:p>
    <w:p>
      <w:r>
        <w:t>VD Tribunal cantonal, 2021-03-22, FR</w:t>
      </w:r>
    </w:p>
    <w:p>
      <w:r>
        <w:rPr>
          <w:b/>
        </w:rPr>
        <w:t xml:space="preserve">Quelle: </w:t>
      </w:r>
      <w:r>
        <w:t>https://mcp.opencaselaw.ch/entscheid/vd_gerichte_ZC20.013426</w:t>
      </w:r>
    </w:p>
    <w:p>
      <w:r>
        <w:t>FR: VD_GERICHTE ZC20.013426 du 22 mars 2021</w:t>
      </w:r>
    </w:p>
    <w:p>
      <w:r>
        <w:t>IT: VD_GERICHTE ZC20.013426 del 22 marzo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w:t>
      </w:r>
    </w:p>
    <w:p>
      <w:r>
        <w:t>- 5 -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en l’espèce inférieure à 30'000 fr., la cause est de la compétence d’un membre de la Cour statuant en tant que juge unique (art. 94 al. 1 let. a LPA-VD).</w:t>
      </w:r>
    </w:p>
    <w:p>
      <w:r>
        <w:rPr>
          <w:b/>
        </w:rPr>
        <w:t>E. 2</w:t>
      </w:r>
    </w:p>
    <w:p>
      <w:r>
        <w:t>En l’espèce, est litigieux le point de savoir si l’intimée était fondée à refuser le versement de la rente d’orphelin en faveur de B.S.________ pendant les mois d’août et de septembre 2019.</w:t>
      </w:r>
    </w:p>
    <w:p>
      <w:r>
        <w:rPr>
          <w:b/>
        </w:rPr>
        <w:t>E. 2.4</w:t>
      </w:r>
    </w:p>
    <w:p>
      <w:r>
        <w:t>et les références). bb) Le ch. 3368.1 expose ainsi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Le ch. 3369 DR indique encore que si la formation professionnelle est interrompue, elle est – sous réserve de certaines interruptions visées aux ch. 3370 à 3373 – en principe considérée comme ayant pris fin ; tel est également le cas lorsque seul un</w:t>
      </w:r>
    </w:p>
    <w:p>
      <w:r>
        <w:t>- 8 - objectif intermédiaire a jusqu’alors été atteint, tel l’obtention d’une maturité par exemple. Le ch. 3370 DR indique, notamment, que des vacances ou autres périodes sans cours usuelles d’une durée maximale de</w:t>
      </w:r>
    </w:p>
    <w:p>
      <w:r>
        <w:rPr>
          <w:b/>
        </w:rPr>
        <w:t>E. 3</w:t>
      </w:r>
    </w:p>
    <w:p>
      <w:r>
        <w:t>a) Aux termes de l’art. 25 LAVS, les enfants dont le père ou la mère est décédé ont droit à une rente d’orphelin (al. 1, première phrase). Pour les enfants qui accomplissent une formation, le droit à la rente s’étend jusqu’au terme de cette formation, mais au plus tard jusqu’à l’âge de 25 ans révolus. Le Conseil fédéral peut définir ce que l’on entend par formation (al. 5). b) Se fondant sur cette délégation de compétence, le Conseil fédéral a adopté les art. 49bis et 49ter RAVS (règlement du 31 octobre 1947 sur l’assurance-vieillesse et survivants ; RS 831.101), entrés en vigueur au 1er janvier 2011. L'art. 49bis al. 1 RAVS concrétise la jurisprudence antérieure en la matière (ATF 142 V 572 consid. 3.2 et la référence citée).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w:t>
      </w:r>
    </w:p>
    <w:p>
      <w:r>
        <w:t>- 6 - professions. Selon l'al. 2, sont également considérées comme formation les solutions transitoires d'occupation telles que les semestres de motivation et les pré-apprentissages, les séjours au pair et les séjours linguistiques, pour autant qu'ils comprennent une partie de cours. Enfin, l'enfant n'est pas considéré en formation si son revenu d'activité lucrative mensuel moyen est supérieur à la rente de vieillesse complète maximale de l'AVS (al. 3). L'art. 49ter al. 1 RAVS prévoit que la formation se termine avec un diplôme de fin d'étude ou un diplôme professionnel. Conformément à l’al. 2, la formation est également considérée comme terminée lorsqu'elle est abandonnée ou interrompue ou lorsque le droit à une rente d'invalidité prend naissance. L’al. 3 précise que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ainsi que les interruptions pour raisons de santé ou de grossesse, jusqu'à une durée maximale de douze mois (let. c). c) Selon la jurisprudence, seules les interruptions objectivement nécessaires ne mettent pas fin au droit à la rente (ATF 138 V 286 consid. 4.2.1). En outre, toute interruption temporaire de l'apprentissage ou des études n'entraîne pas nécessairement la suppression du droit à la rente, durant l'interruption. Il convient ainsi de distinguer entre l'interruption d'une formation et l'arrêt d'une formation avec reprise d'une autre formation. Le droit à la rente d'orphelin est en effet maintenu en cas de poursuite, après sa suspension temporaire, de la formation précédemment en cours ou, à tout le moins, d'une formation qui en constitue la suite normale (ATF 138 V 286 consid. 4.2.2 ; 119 V 36 consid. 5b ; 102 V 208 consid. 3 et les références citées).</w:t>
      </w:r>
    </w:p>
    <w:p>
      <w:r>
        <w:t>- 7 - d) Il y a encore lieu de se référer aux Directives concernant les rentes (DR) de l’assurance vieillesse, survivants et invalidité fédérale, édictées par l’Office fédéral des assurances sociales. aa) On précisera préalablement que les directives de l’administration, destinées à assurer l'application uniforme des prescriptions légales, n'ont pas force de loi et, par voie de conséquence, ne lient ni les administrés ni les tribunaux ; elles ne constituent pas des règles de droit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141 V 365 consid.</w:t>
      </w:r>
    </w:p>
    <w:p>
      <w:r>
        <w:rPr>
          <w:b/>
        </w:rPr>
        <w:t>E. 4</w:t>
      </w:r>
    </w:p>
    <w:p>
      <w:r>
        <w:t>Dans le cas d’espèce, le recourant fait valoir que sa fille a effectivement suivi un plan de formation défini, établi et structuré, comprenant la maturité, un cycle d’apprentissage linguistique puis une formation universitaire. Il n’y avait ainsi aucune interruption de la formation. Quant à la caisse intimée, elle retient en premier lieu que l’interruption entre la clôture des études gymnasiales et le début de ses séjours linguistiques avait duré plus de quatre mois. Elle soulignait également que le but de l’assurée était d’entamer des études dans le domaine économique et que la visite d’une école de langues à l’étranger n’était pas une condition formelle ou de fait afin de commercer de telles études. a) Concernant le premier grief, soit la durée de quatre mois entre la fin des études gymnasiales et le début des stages linguistiques, l’intimée ne saurait être suivie. En effet, si la date de la remise de diplôme n’apparaît pas en soi déterminante afin de pouvoir qualifier une formation de terminée, le moment où l’assurée a rempli toutes les conditions pour se voir octroyer une maturité, spécialement la fin des examens, ne saurait remonter au-delà du 15 juin 2019. Par ailleurs, il est établi que le début du séjour linguistique de l’intéressée en Italie a débuté le 9 septembre, ce qui n’est pas contesté par l’intimée. Il en résulte qu’entre la fin du gymnase et le début de la formation en langue de B.S.________, un maximum de trois mois se sont écoulés et non quatre comme retenu par l’intimée. Cette période correspondant en outre aux périodes usuelles libres de cours et de vacances, elle ne saurait ainsi être considérée comme une interruption au sens de l’art. 49ter al. 3 let. a RAVS.</w:t>
      </w:r>
    </w:p>
    <w:p>
      <w:r>
        <w:t>- 9 - b) En l’occurrence, il convient de rappeler que les séjours linguistiques peuvent être considérés comme des formations (art. 49bis al. 2 RAVS), le règlement reconnaissant la valeur formatrice de séjours linguistiques sous réserve que ces séjours comprennent une partie de cours, ce qui est le cas en l’espèce. Le ch. 3358 DR exige quant à lui que ces formations, pour être reconnues, durent plus de quatre semaines. Il n’est pas contesté que les formations linguistiques suivies par l’assurée ont duré plus de quatre semaines, l’intéressée ayant débuté un premier stage en septembre 2019, pour poursuivre dite formation jusqu’au mois de juin 2020. De tels séjours répondent à l’objectif d’éducation poursuivi par les art. 25 LAVS, 49bis et 49ter RAVS, la maîtrise d’une langue étrangère étant un acquis essentiel dans l’optique de toute carrière professionnelle à venir (OFAS, Commentaire des modifications du RAVS au 1er janvier 2011, document consultable sous : www.bsv.admin.ch/themen/ahv, sous la rubrique Législation – Archives ; ad art. 49bis al. 2 RAVS). Ainsi, l’argument de l’intimée consistant à retenir qu’une formation linguistique n’est pas un prérequis aux études dans le domaine économique est irrelevant. En effet, suivre des formations linguistiques à l’étranger ne saurait être réservé aux étudiants désireux de se former dans le domaine de la traduction ou l’enseignement de langues. Pour les étudiants ayant achevé une formation économique également, la nécessité de la maîtrise de l’allemand ne fait plus de doute sur le marché du travail suisse. Par ailleurs, dans un monde économique globalisé tel que nous le connaissons aujourd’hui, où l’essentiel des transactions se font en anglais, l’apprentissage de cette langue paraît également nécessaire. Compte tenu de ce qui précède, les stages de langues suivis par l’assurée ne sont pas de nature à rompre la continuité d’une formation, bien au contraire. La qualification de formation ayant été admise, cette dernière ayant été entamée moins de quatre mois depuis la fin de la formation gymnasiale, elle donne effectivement lieu au</w:t>
      </w:r>
    </w:p>
    <w:p>
      <w:r>
        <w:t>- 10 - versement des prestations requises, soit les rentes pour orphelin concernant les mois d’août et septembre 2019 en faveur de B.S.________.</w:t>
      </w:r>
    </w:p>
    <w:p>
      <w:r>
        <w:rPr>
          <w:b/>
        </w:rPr>
        <w:t>E. 5</w:t>
      </w:r>
    </w:p>
    <w:p>
      <w:r>
        <w:t>a) En définitive, le recours doit être admis et la décision sur opposition du 6 mars 2020 annulée, la cause étant renvoyée à D.________ afin que celle-ci détermine et serve le montant de la rente pour orphelin de B.S.________ durant la période entre le 1er août 2019 et le 30 septembre 2019.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 Par ces motifs, le juge unique p r o n o n c e : I. Le recours est admis. II. La décision rendue le 6 mars 2020 par D.________ est annulée, la cause étant renvoyée à cette caisse pour complément d’instruction au sens des considérants puis nouvelle décision. III. Il n’est pas perçu de frais judiciaires ni alloués de dépens. Le juge unique : Le greffier : Du</w:t>
      </w:r>
    </w:p>
    <w:p>
      <w:r>
        <w:t>- 11 - L'arrêt qui précède est notifié à : - A.S.________, - D.________,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