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ZC19.036951 vom 8. Mai 2020</w:t>
      </w:r>
    </w:p>
    <w:p>
      <w:r>
        <w:t>VD Tribunal cantonal, 2020-05-08, FR</w:t>
      </w:r>
    </w:p>
    <w:p>
      <w:r>
        <w:rPr>
          <w:b/>
        </w:rPr>
        <w:t xml:space="preserve">Quelle: </w:t>
      </w:r>
      <w:r>
        <w:t>https://mcp.opencaselaw.ch/entscheid/vd_gerichte_ZC19.036951</w:t>
      </w:r>
    </w:p>
    <w:p>
      <w:r>
        <w:t>FR: VD_GERICHTE ZC19.036951 du 8 mai 2020</w:t>
      </w:r>
    </w:p>
    <w:p>
      <w:r>
        <w:t>IT: VD_GERICHTE ZC19.036951 del 8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En l’espèce, le litige porte sur le point de savoir si l’intimée était en droit de réclamer au recourant des intérêts moratoires à hauteur de 22'576 fr. 70 pour la période du 1er janvier 2013 au 27 mai 2019.</w:t>
      </w:r>
    </w:p>
    <w:p>
      <w:r>
        <w:rPr>
          <w:b/>
        </w:rPr>
        <w:t>E. 3</w:t>
      </w:r>
    </w:p>
    <w:p>
      <w:r>
        <w:t>a) Les cotisations perçues sur le revenu provenant de l’exercice d’une activité indépendante sont déterminées et versées périodiquement (art. 14 al. 2 LAVS). Les cotisations sont fixées pour chaque année de cotisation. L’année de cotisation correspond à l’année civile (art. 22 al. 1 RAVS [règlement sur l’assurance-vieillesse et survivants du 31 octobre 1947 ; RS 831.101]). Selon l’art. 14 al. 4 let. c LAVS, le Conseil fédéral édicte des dispositions sur le paiement a posteriori de cotisations non versées. Faisant usage de cette compétence, le Conseil fédéral a notamment édicté l’art. 41bis RAVS, dans lequel sont désignées les personnes tenues de payer des intérêts moratoires. Le Tribunal fédéral (ATF 134 V 202 consid. 3) a eu l'occasion de confirmer que cette disposition est conforme à la loi et qu'elle demeure applicable après l'entrée en vigueur de l'art. 26 al. 1 LPGA relatif aux intérêts moratoires et rémunératoires. La lettre f de l’alinéa premier de l'art. 41bis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Le Tribunal fédéral a eu l'occasion de préciser que le but de l’art. 41bis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7.2-7.4).</w:t>
      </w:r>
    </w:p>
    <w:p>
      <w:r>
        <w:t>- 7 - L'art. 41bis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Il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134 V 202 consid. 3.5 ; TF 9C_531/2015 du 22 mars 2016 consid. 4).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134 V 202 consid. 3.1 ; TF 9C_531/2015 du 22 mars 2016 consid. 4 et 9C_119/2013 du 29 août 2013 consid. 7.1). Bien au contraire, la dette de</w:t>
      </w:r>
    </w:p>
    <w:p>
      <w:r>
        <w:t>- 8 - cotisations naît ex lege,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c) Selon l'art. 17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du 14 décembre 1990 ; RS 642.11), et les bénéfices provenant de l’aliénation d’immeubles agricoles ou sylvicoles conformément à l’art. 18, al. 4, LIFD, à l’exception des revenus provenant de participations déclarées comme fortune commerciale selon l’art. 18, al. 2, LIFD. L'article 18 al. 4 LIFD dispose que les bénéfices provenant de l'aliénation d'immeubles agricoles ou sylvicoles ne sont ajoutés au revenu imposable que jusqu'à concurrence des dépenses d'investissement. Le Tribunal fédéral n'a pas modifié ce principe, mais a défini plus précisément la notion d’immeuble agricole ou sylvicole au sens de l'article 18 al. 4 LIFD, en excluant les réserves de terrains à bâtir et considérant qu’en cas d'aliénation, non seulement les amortissements récupérés étaient soumis à l'impôt sur le revenu, mais également la totalité du bénéfice (ATF138 II 32, consid. 2.2).</w:t>
      </w:r>
    </w:p>
    <w:p>
      <w:r>
        <w:t>- 9 -</w:t>
      </w:r>
    </w:p>
    <w:p>
      <w:r>
        <w:rPr>
          <w:b/>
        </w:rPr>
        <w:t>E. 4</w:t>
      </w:r>
    </w:p>
    <w:p>
      <w:r>
        <w:t>a) En l’espèce, il est constant et non contesté que les acomptes payés sur les cotisations personnelles dues par le recourant pour l’année 2011 étaient inférieurs de plus de 25 % aux redevances effectivement dues. De même, il est patent que le complément de cotisations dû n’a pas été versé jusqu'au 1er janvier après la fin de l’année civile suivant l’année de cotisations – autrement dit, pour les cotisations 2011, avant le 1er janvier 2013. b) A sa décharge, le recourant fait valoir qu’il lui était impossible, en l’absence de transaction à titre onéreux, de connaître le bénéfice éventuel résultant du transfert de sa parcelle de la fortune commerciale à la fortune privée, que dit bénéfice devait être de surcroît déterminé par l’autorité fiscale, qui plus est une fois connu le sort des débats législatifs consécutifs à la motion du conseiller national Léo Muller dans les suites de l’arrêt du Tribunal fédéral du 2 décembre 2011 (ATF 138 II 32). Il considère encore qu’il ne saurait lui être fait grief de ne pas avoir fait preuve d’un degré d’attention raisonnablement exigible alors même qu’aucune autorité fiscale ou sociale n’était en mesure d’effectuer le calcul de ses cotisations provisoires. Etant rappelé le principe selon lequel les intérêts moratoires sont dus du seul fait d'un retard objectif dans le paiement des cotisations, indépendamment de la bonne foi de l’assuré ou d’une éventuelle faute ou retard de l’administration (cf. consid. 3b supra), ou encore comme en l’espèce de l’incertitude quant à l’issue de débats législatifs, les arguments invoqués par le recourant ne sont pas pertinents. Il est en effet notoire que l’arrêt rendu par le Tribunal fédéral le 2 décembre 2011 a reçu un large écho dans la presse de même qu’auprès des organisations faitières, fiduciaires comme agricoles, de telle sorte qu’il est probable que le recourant aura pris conscience dans les mois suivant cette jurisprudence de l’éventualité d’une augmentation conséquente de son revenu imposable pour l’exercice 2011. A l’instar de l’OFAS dans sa communication du 18 décembre 2013, il convient ainsi d’admettre que les répercussions de la jurisprudence précitée en matière de cotisations sociales devaient être connues fin 2012 au plus tard. Le recourant devait</w:t>
      </w:r>
    </w:p>
    <w:p>
      <w:r>
        <w:t>- 10 - l’être d’autant plus que la remise de son exploitation agricole, excluant la parcelle litigieuse, a eu lieu en 2011 et que dans ce contexte, il aura certainement bénéficié de conseils fiscaux et fiduciaires. L’argument de l’impossibilité de fixer le revenu imposable 2011 avant que soit connue l’issue des débats législatifs n’est également d’aucun secours au recourant. En effet, une éventuelle modification de la législation concernant l’imposition des immeubles agricoles sis en zone à bâtir ne serait entrée en vigueur que bien des années après 2011 et le principe de la non-rétroactivité des lois aurait vraisemblablement fait obstacle à l’application de la norme modifiée au cas d’espèce, tant sous l’angle du droit fiscal que du droit de l’AVS. Enfin, si le bénéfice ne pouvait être exactement chiffré en l’absence de transfert immobilier à titre onéreux, il n’en demeure pas moins qu’il pouvait faire l’objet d’une estimation. Il s’agissait en effet de la construction d’appartements et le recourant disposait, pour évaluer le bénéfice réalisable, des paramètres nécessaires que sont le prix d’acquisition de la parcelle, sa valeur vénale selon le droit foncier rural, le montant des dépenses d’investissement, le coût de la construction et les prix du marché immobilier local. Même si le montant ainsi calculé n’aurait été qu’approximatif, il serait immédiatement apparu au recourant qu’il entraînait une augmentation importante de son revenu pour l’année 2011 et au titre de personne astreinte au paiement de cotisations, il devait fournir à la caisse de compensation les renseignements nécessaires à la fixation des cotisations et lui signaler l’existence d’un revenu différant sensiblement du revenu probable (art. 24 al. 4 RAVS). c) Le recourant invoque encore le fait qu’il aurait pu demander à bénéficier d’un différé d’imposition en application des art. 18a al. 1 LIFD et 21a al. 1 LI (loi sur les impôts directs cantonaux du 4 juillet 2000; BLV 642.11). La renonciation à faire usage de cette faculté relève de la stratégie fiscale et lui est strictement imputable. Elle n’entraîne aucune conséquence s’agissant de la détermination des cotisations et par conséquent des intérêts moratoires.</w:t>
      </w:r>
    </w:p>
    <w:p>
      <w:r>
        <w:t>- 11 - d) Cela étant, il doit être admis que le recourant était présumé demander à verser des acomptes supplémentaires avant le 1er janvier 2013, date marquant le début du cours des intérêts moratoires. La Caisse était ainsi légitimée à facturer au recourant des intérêts moratoires dus pour la période du 1er janvier 2013 au 27 mai 2019, en application de l’art. 41bis al. 1 let. f RAVS, ces intérêts courant au taux légal de 5 % l’an (art. 42 al. 2 RAVS). Pour le surplus, le calcul des intérêts n’est à juste titre pas critiqué par le recourant.</w:t>
      </w:r>
    </w:p>
    <w:p>
      <w:r>
        <w:rPr>
          <w:b/>
        </w:rPr>
        <w:t>E. 5</w:t>
      </w:r>
    </w:p>
    <w:p>
      <w:r>
        <w:t>a) Au vu de ce qui précède, le recours doit être rejeté et la décision attaquée confirmée. b) n'y a pas lieu de percevoir de frais judiciaires, la procédure étant gratuite (art. 61 let. a LPGA). Le recourant, qui n’obtient pas gain de cause, n’a pas droit à des dépens (art. 61 let. g LPGA). Par ces motifs, la juge unique p r o n o n c e : I. Le recours est rejeté. II. La décision sur opposition rendue le 17 juillet 2019 par la Caisse de compensation AVS M.________ est confirmée. III. Il n’est pas perçu de frais judiciaires, ni alloué de dépens.</w:t>
      </w:r>
    </w:p>
    <w:p>
      <w:r>
        <w:t>- 12 - La juge unique : La greffière : Du L'arrêt qui précède est notifié à : - [...] (pour le recourant) - M.________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