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ZC19.022435 vom 16. Dezember 2020</w:t>
      </w:r>
    </w:p>
    <w:p>
      <w:r>
        <w:t>VD Tribunal cantonal, 2020-12-16, FR</w:t>
      </w:r>
    </w:p>
    <w:p>
      <w:r>
        <w:rPr>
          <w:b/>
        </w:rPr>
        <w:t xml:space="preserve">Quelle: </w:t>
      </w:r>
      <w:r>
        <w:t>https://mcp.opencaselaw.ch/entscheid/vd_gerichte_ZC19.022435</w:t>
      </w:r>
    </w:p>
    <w:p>
      <w:r>
        <w:t>FR: VD_GERICHTE ZC19.022435 du 16 décembre 2020</w:t>
      </w:r>
    </w:p>
    <w:p>
      <w:r>
        <w:t>IT: VD_GERICHTE ZC19.022435 del 16 dicembre 2020</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 c) Vu la valeur litigieuse inférieure à 30'000 fr., la cause est de la compétence du juge unique (art. 94 al. 1 let. a LPA-VD).</w:t>
      </w:r>
    </w:p>
    <w:p>
      <w:r>
        <w:rPr>
          <w:b/>
        </w:rPr>
        <w:t>E. 2</w:t>
      </w:r>
    </w:p>
    <w:p>
      <w:r>
        <w:t>En l’occurrence, le litige a uniquement pour objet la qualification des indemnités de 17'000 fr. et 3'250 fr. allouées à Q.________ et F.________ en vertu des transactions passées les 27 octobre 2014 et 29 novembre 2016 devant le Tribunal de Prud’hommes de l’arrondissement de la Broye et du Nord vaudois, respectivement de la commission de 30'000 fr. versée à E.________ en vertu d’une convention passée le 21 juin 2017. Singulièrement, il s’agit de déterminer si ces montants sont sujets ou non à la perception de cotisations sociales.</w:t>
      </w:r>
    </w:p>
    <w:p>
      <w:r>
        <w:rPr>
          <w:b/>
        </w:rPr>
        <w:t>E. 3</w:t>
      </w:r>
    </w:p>
    <w:p>
      <w:r>
        <w:t>a) Sont notamment assurées conformément à la LAVS les personnes physiques domiciliées en Suisse et les personnes physiques qui exercent en Suisse une activité lucrative (art. 1a al. 1 let. a et b LAVS). Selon l’art. 4 LAVS, les cotisations des assurés qui exercent une activité lucrative sont calculées en pour-cent du revenu provenant de l’exercice de l’activité dépendante ou indépendante. Les cotisations perçues sur le revenu provenant de l’exercice d’une activité dépendante sont retenues</w:t>
      </w:r>
    </w:p>
    <w:p>
      <w:r>
        <w:t>- 6 - lors de chaque paie et doivent être versées périodiquement par l’employeur en même temps que la cotisation de l’employeur (art. 14 al. 1 LAVS). b)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d) L’art. 7 RAVS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8bis ou 8ter. Au regard de cette disposition, l’élément déterminant pour la prise en compte des prestations versées par l’employeur lors de la cessation des rapports de travail est la relation directe ou indirecte, mais étroite entre les créances de l’employé</w:t>
      </w:r>
    </w:p>
    <w:p>
      <w:r>
        <w:t>- 7 - et les rapports de service (VSI 1997 p. 22 consid. 3). Font notamment partie du salaire déterminant les rétributions versées au salarié en cas de résiliation anticipée des rapports de service. En revanche, les indemnités pour résiliation abusive (art. 336a CO [Code des obligations du 30 mars 1911 ; RS 220]) et pour résiliation injustifiée (art. 337c al. 3 CO) ne font pas partie du salaire déterminant (ATF 123 V 5 consid. 5 ; Michel Valterio, Droit de l’assurance-vieillesse et survivants [AVS] et de l’assurance- invalidité [AI], Genève/Zurich/Bâle 2011, n. 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suite à la résiliation des rapports de travail par consentement mutuel (TF 8C_338/2017 du 29 janvier 2018 consid. 4.1).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w:t>
      </w:r>
    </w:p>
    <w:p>
      <w:r>
        <w:rPr>
          <w:b/>
        </w:rPr>
        <w:t>E. 5</w:t>
      </w:r>
    </w:p>
    <w:p>
      <w:r>
        <w:t>a) En l’espèce, l’intimée retient que les indemnités alloués en faveur de Q.________ et de F.________ en vertu des transactions passées les 27 octobre 2014 et 29 novembre 2016 devant le Tribunal de Prud’hommes de l’arrondissement de la Broye et du Nord vaudois sont soumises à cotisations, dans la mesure où elles concernent le paiement de salaire.</w:t>
      </w:r>
    </w:p>
    <w:p>
      <w:r>
        <w:t>- 8 - b) Il sied d’emblée de préciser que l’argument de l’intimée, selon lequel une indemnité versée en vertu de l’art. 336a CO devrait être fixée par un juge pour être valablement prise en compte est absolument sans pertinence. Une telle déduction ne ressort d’aucun texte légal ou réglementaire. Au contraire, cette exigence priverait de tout intérêt l’opportunité de conclure des transactions extra-judiciaires et reviendrait à imposer systématiquement le recours au juge pour éviter le risque de s’acquitter des charges sociales (CASSO AVS 48/17- 33/2018 du 6 août 2018 consid. 5). c) Le 4 septembre 2020, la recourante a produit les requêtes déposées par Q.________ et F.________ auprès du Tribunal de prud’hommes de l’arrondissement de La Broye et du Nord vaudois, respectivement les 4 avril 2014 et 13 octobre 2016. Les conclusions prises par Q.________ consistaient à ce que la recourante soit reconnue comme débitrice d’un montant de 30'000 fr. brut. Cette somme correspondait à des rattrapages conventionnels en application de la convention collective de travail (CCT) Métal-Vaud, à des salaires impayés ainsi qu’au paiement du délai de congé au sens de l’art. 337b CO. Quant à F.________, il avait conclu au paiement d’un montant de 7'352 fr. 80, expliquant que ses salaires d’avril à août 2014 n’avaient pas été payés correctement. d) Au vu de ces éléments, les procédures qui ont donné lieu aux transactions litigieuses avaient uniquement pour objet des prétentions de nature salariale, à l’exclusion de toute prestation à caractère indemnitaire. A tout le moins, rien ne permet de penser que les indemnités versées par le recourant l’ont été en vertu des art. 336a ou 337c al. 3 CO. Dans ces conditions, la caisse intimée n’a pas violé le droit fédéral en considérant ces indemnités comme du salaire déterminant. Le fait que les montants des indemnités litigieuses aient été qualifiés dans les transactions de « nets » importe peu. En effet, l’application des prescriptions de droit public relatives aux cotisations sociales ne saurait être mise à néant par le biais d’une transaction passée sur le plan civil.</w:t>
      </w:r>
    </w:p>
    <w:p>
      <w:r>
        <w:t>- 9 -</w:t>
      </w:r>
    </w:p>
    <w:p>
      <w:r>
        <w:rPr>
          <w:b/>
        </w:rPr>
        <w:t>E. 6</w:t>
      </w:r>
    </w:p>
    <w:p>
      <w:r>
        <w:t>a) L’intimée retient également que la commission de 30'000 fr. versée à E.________ en vertu d’une convention passée le 21 juin 2017 doit être soumise à cotisations. b) Au vu des déclarations recueillies lors de l’audience du 8 septembre 2020, il ressort que E.________ entendait soumissionner pour un chantier situé à [...] dans la République et canton de Genève. Depuis son passage comme employé de la recourante, E.________ était en contact avec cette dernière, en particulier avec B.________, gérant de la société recourante. Dans le cadre du chantier précité, E.________ a suggéré à la recourante de soumissionner avec lui pour les aspects de constructions métalliques. En contrepartie de l’obtention du mandat, les parties ont convenu du versement en faveur de E.________ d’une commission d’apport d’affaire, pratique apparemment courante dans le domaine de la construction. c) Contrairement à la position défendue par la caisse intimée, il n’existe au dossier aucun élément qui laisse à penser que l’on se trouvait, dans le cadre de cette affaire, en présence d’une activité dépendante de E.________. En l’occurrence, il est clairement établi que E.________ n’était, au moment des faits, pas employé par la recourante, mais titulaire de sa propre société, [...] Constructions Métallique Sàrl. Il arrivait ponctuellement que la société de E.________ confie certaines affaires à la recourante ; il s’agissait alors de mandats qui relevaient du contrat d’entreprise (art. 363 et ss CO). Dans le cas qui donne lieu à la reprise litigieuse, il appert que E.________ a proposé à la recourante d’unir leurs forces respectives afin de décrocher un chantier dans la République et canton de Genève. Dans ce contexte, on peine à trouver dans la relation juridique qui a lié les parties les éléments caractéristiques d’un contrat de travail. Aucun élément ne plaide dans le sens d’un lien de subordination de E.________ à l’égard de la recourante. A aucun moment d’ailleurs il n’a été mentionné que E.________ aurait reçu des instructions de la part de la recourante sur la manière de procéder afin d’obtenir le marché en cause.</w:t>
      </w:r>
    </w:p>
    <w:p>
      <w:r>
        <w:t>- 10 - Au contraire, il semble bien que c’était E.________ qui assumait la direction des opérations concernant l’adjudication du chantier genevois pour lequel il était en contact direct avec le maître d’ouvrage. Il apparaît ainsi, et contrairement à ce que soutient l’intimée, que les parties ont agi, tant dans le cadre du chantier en question que dans le cadre d’autres affaires, sur un pied d’égalité, comme partenaires. La libre entreprise est d’ailleurs un élément déterminant dans la qualification d’une activité indépendante (arrêt TF 8C_597/2011 du 10 mai 2012, consid. 2.3 et les références citées), statut qui, au vu des circonstances, ne saurait être nié à E.________. La caisse intimée ne saurait rien tirer du fait que le montant litigieux ait été versé directement sur le compte personnel de E.________. En effet, la société de ce dernier avait dans l’intervalle fait faillite, de sorte que le montant de la commission ne pouvait plus être versé directement à cette société. d) Sur le vu de ce qui précède, il apparaît que la caisse intimée a violé le droit fédéral, en considérant, sur la base des éléments à disposition, que le versement de la commission de 30'000 fr. résultait d’une activité dépendante et qu’elle devait, à ce titre, être soumise à cotisations sociales.</w:t>
      </w:r>
    </w:p>
    <w:p>
      <w:r>
        <w:rPr>
          <w:b/>
        </w:rPr>
        <w:t>E. 7</w:t>
      </w:r>
    </w:p>
    <w:p>
      <w:r>
        <w:t>a) En partie bien fondé, le recours doit ainsi être partiellement admis. La décision sur opposition du 1er avril 2019, en tant qu’elle porte sur la période allant du mois de janvier 2014 au mois de décembre 2017, est réformée en ce sens que la reprise de 25'067 fr. effectuée pour l’année 2017 concernant les activités de E.________ est abandonnée. b) La procédure étant gratuite, il n’y a pas lieu de percevoir de frais judiciaires (art. 61 let. a LPGA). c) La recourante, qui obtient partiellement gain de cause avec le concours d’un mandataire professionnel, a droit à une indemnité de dépens, dont le montant doit être déterminé d’après l’importance et la</w:t>
      </w:r>
    </w:p>
    <w:p>
      <w:r>
        <w:t>- 11 - complexité du litige (art. 61 let. g LPGA et 55 al. 1 LPA-VD ; cf. également : art. 11 al. 2 TFJDA [tarif cantonal vaudois du 28 avril 2015 des frais judiciaires et des dépens en matière administrative ; RSV 173.36.5.1]). En l’espèce, il y a lieu d’arrêter le montant des dépens à 1'500 fr. à la charge de l’intimée, qui succombe (art. 55 al. 2 LPA-VD). Par ces motifs, le juge unique p r o n o n c e : I. Le recours est partiellement admis. II. La décision sur opposition rendue le 1er avril 2019 par la Caisse de compensation des entrepreneurs, en tant qu’elle porte sur la période courant du mois de janvier 2014 au mois de décembre 2017, est réformée en ce sens que la reprise de 25'067 fr. effectuée pour l’année 2017 concernant les activités de E.________ est abandonnée. III. Il n’est pas perçu de frais judiciaires. IV. La Caisse de compensation des entrepreneurs versera à W.________ la somme de 1'500 fr. (mille cinq cents francs) à titre de dépens. Le juge unique : Le greffier : Du</w:t>
      </w:r>
    </w:p>
    <w:p>
      <w:r>
        <w:t>- 12 - L'arrêt qui précède, dont la rédaction a été approuvée à huis clos, est notifié à : - Me Rossel, pour la recourante, - la Caisse de compensation des entrepreneurs, Agence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