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ZC19.005156 vom 20. Dezember 2019</w:t>
      </w:r>
    </w:p>
    <w:p>
      <w:r>
        <w:t>VD Tribunal cantonal, 2019-12-20, FR</w:t>
      </w:r>
    </w:p>
    <w:p>
      <w:r>
        <w:rPr>
          <w:b/>
        </w:rPr>
        <w:t xml:space="preserve">Quelle: </w:t>
      </w:r>
      <w:r>
        <w:t>https://mcp.opencaselaw.ch/entscheid/vd_gerichte_ZC19.005156</w:t>
      </w:r>
    </w:p>
    <w:p>
      <w:r>
        <w:t>FR: VD_GERICHTE ZC19.005156 du 20 décembre 2019</w:t>
      </w:r>
    </w:p>
    <w:p>
      <w:r>
        <w:t>IT: VD_GERICHTE ZC19.005156 del 20 dicembre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w:t>
      </w:r>
    </w:p>
    <w:p>
      <w:r>
        <w:t>- 8 - compensation a son siège (art. 56 al. 1 LPGA et 84 LAVS), dans les trente jours suivant leur notification (art. 60 al. 1 LPGA). b) En l’occurrence, déposé en temps utile auprès du tribunal compétent compte tenu des féries (art. 93 let. a LPA-VD [loi cantonale vaudoise du 28 octobre 2008 sur la procédure administrative ; BLV 173.36], 96 al. 1 let. c LPA-VD et 38 al. 4 let. c LPGA) et respectant les autres conditions formelles prévues par la loi (art. 61 let. b LPGA notamment), le recours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131 V 164 consid. 2.1 ; 125 V 413 consid. 2c ; 110 V 48 consid. 4a). b) Le litige porte sur la qualification – salariée ou indépendante – de l’activité lucrative exercée par A.E.________ pour le compte d’Y.________. c) Une décision de refus d’une demande d’affiliation comme travailleur indépendant, et par conséquent d’inscription au registre en tant que tel, est de nature formatrice (ATF 132 V 257 ; TF 9C_308/2017 du 17 mai 2018 consid. 1, non publié in ATF 144 V 111). La Caisse a dès lors à juste titre rendu une décision susceptible d’être attaquée par la voie de l’opposition, puis une décision sur opposition sujette à recours, également notifiées à l’employeur (ATF 132 V 257).</w:t>
      </w:r>
    </w:p>
    <w:p>
      <w:r>
        <w:rPr>
          <w:b/>
        </w:rPr>
        <w:t>E. 3</w:t>
      </w:r>
    </w:p>
    <w:p>
      <w:r>
        <w:t>a) Est réputé salarié celui qui fournit un travail dépendant et qui reçoit pour ce travail un salaire déterminant au sens des lois spéciales</w:t>
      </w:r>
    </w:p>
    <w:p>
      <w:r>
        <w:t>- 9 - (art. 10 LPGA). Est considéré comme exerçant une activité lucrative indépendante celui dont le revenu ne provient pas de l’exercice d’une activité en tant que salarié (art. 12 al. 1 LPGA). Selon l’art. 5 al. 2 LAVS (loi fédérale du 20 décembre 1946 sur l’assurance-vieillesse et survivants ; RS 831.10), on considère comme salaire déterminant toute rétribution pour un travail dépendant effectué dans un temps déterminé ou indéterminé ; quant au revenu provenant d’une activité indépendante, il comprend « tout revenu du travail autre que la rémunération pour un travail accompli dans une situation dépendante » (art. 9 al. 1 LAVS). A noter qu’une personne exerçant une activité lucrative indépendante peut simultanément avoir la qualité de salarié si elle reçoit un salaire correspondant (cf. art. 12 al. 2 LPGA). b)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TF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140 V 108 consid. 6, 123 V 161 consid. 1 et les références).</w:t>
      </w:r>
    </w:p>
    <w:p>
      <w:r>
        <w:t>- 10 -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(TF 9C_1062/2010 du 5 juillet 2011 consid. 7.2 et les références). c) L’Office fédéral des assurances sociales (OFAS) a établi des Directives sur le salaire déterminant dans l’AVS, Al et APG (ci-après :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144 V 195 consid. 4.2 ; 118 V 129 consid. 3a). Ainsi, en rapport avec la définition du salaire déterminant, s’agissant de la notion de situation dépendante, le chiffre 1018 DSD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Le risque économique d’entrepreneur peut être défini comme étant celui que court la personne qui doit compter, en raison d’évaluations ou de comportements professionnels inadéquats, avec des pertes de la substance économique de l’entreprise. Constituent notamment des indices</w:t>
      </w:r>
    </w:p>
    <w:p>
      <w:r>
        <w:t>- 11 -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(TF 9C_213/2016 du 17 octobre 2016 consid. 3.4 ; TF 9C_624/2011 du 25 septembre 2012 consid. 2.2 ; TF 9C_1062/2010 précité consid. 7.3 et les références ; voir aussi ATF 119 V 161 consid. 3b ; ch. 1019 DSD).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(TF 9C_213/2016 précité consid. 3.4 ; TF 9C_364/2013 du 23 septembre 2013 consid. 2.2 et les références). Quant au rapport social de dépendance économique, respectivement dans l’organisation du travail, du salarié, il se manifeste notamment par l’existence d’un droit de donner des instructions au salarié, d’un rapport de subordination, de l’obligation de remplir la tâche personnellement, d’une prohibition de faire concurrence et d’un devoir de présence (ch. 1020 DSD). Selon le chiffre 1024 DSD, on peut donner la prépondérance soit au critère du risque économique, soit à celui du rapport de dépendance, ou à leurs manifestations respectives, suivant les circonstances particulières de chaque cas. Ainsi, certaines activités économiques, notamment dans le domaine des services, n’exigent pas, de par leur nature, d’investissements importants ou de faire appel à du personnel ; en pareilles circonstances, il convient d’accorder moins d’importance au critère du risque économique de l’entrepreneur et</w:t>
      </w:r>
    </w:p>
    <w:p>
      <w:r>
        <w:t>- 12 - davantage à celui de l’indépendance économique et organisationnelle (TF 9C_364/2013 précité consid. 2.2 ; TF H 19/06 du 14 février 2007 consid. 5.1 et les références).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(ch. 1026 DSD). Aux chiffres 1029 ss DSD est énumérée une liste des critères non décisifs lors de l’appréciation d’un cas particulier, tels que la nature juridique du rapport établi entre les parties. Sur ce point, les directives précisent que la notion de salaire déterminant se définit exclusivement d’après le droit de l’AVS ; c’est une notion particulière à ce domaine juridique, qui est notamment plus large que celle du salaire au sens des dispositions régissant le contrat de travail (ch. 1030 DSD). Toutefois, des rétributions découlant d’un mandat, d’un contrat d’agence, d’un contrat d’entreprise ou d’un autre contrat peuvent aussi appartenir au salaire déterminant ; le rapport de droit civil peut certes fournir éventuellement quelques indices pour la qualification en matière d’AVS, mais n’est pas absolument décisif (ch. 1031 DSD). Parmi les autres critères non décisifs, figurent le fait que l’assuré exerce son activité à titre de profession principale ou accessoire (ch. 1033 DSD), que l’assuré soit affilié à une caisse de compensation en qualité de travailleur indépendant (ch. 1034 DSD), qu’un salarié travaille simultanément pour plusieurs employeurs (ch. 1035 DSD), ou la qualification des revenus par l’autorité fiscale (ch. 1038 DSD). d) En vertu des principes posés par la jurisprudence au sujet de la délimitation entre activité indépendante et salariée, les agents ou représentants de commerce doivent normalement être considérés comme des salariés, à moins que l’ensemble des circonstances du cas d’espèce ne conduisent à admettre l’existence d’une activité indépendante. Pour juger si l’on a affaire à un salarié ou à un indépendant, il n’importe pas de savoir si ses rapports de service sont régis par un contrat de voyageur de</w:t>
      </w:r>
    </w:p>
    <w:p>
      <w:r>
        <w:t>- 13 - commerce ou par un contrat d’agence au sens du droit des obligations. D’une manière générale, les représentants de commerce jouissent d’une grande liberté quant à l’emploi de leur temps et à l’organisation de leur travail; cependant, il est rare qu’ils doivent supporter un risque économique égal à celui de l’entrepreneur. En effet, le risque encouru se limite le plus souvent au fait que le gain dépend du succès personnel des affaires réalisées. Dès lors, il ne peut être considéré comme étant celui d’une personne exerçant une activité indépendante que si l’agent a dû opérer des investissements d’une certaine importance ou rétribuer lui- même du personnel (TF 9C_796/2014 du 27 avril 2015 consid. 3.4 ; TF H 14/87 du 24 août 1987 consid. 2b publié in RCC 1988 p. 398, et les références citées). e) Par contre, le courtage est en règle générale considéré comme une activité indépendante (RCC 1988 p. 315 s. consid. 3c). Comme tout mandataire, le courtier est tenu d’exécuter son mandat dans les règles et conformément aux instructions du mandant (art. 412 al. 2 CO en corrélation avec l’art. 397 CO). Au surplus, le contrat de courtage peut être révoqué en tout temps (art. 412 al. 2 CO en corrélation avec l’art. 404 CO) et selon l’art. 413 al. 1 CO, le courtier n’a en principe droit à son salaire que si l’indication qu’il a donnée ou la négociation qu’il a conduite aboutit à la conclusion du contrat. Ce dernier élément, qui met en lumière le caractère nettement aléatoire de l’activité de courtier, est important du point de vue du droit des assurances sociales qui fait du risque encouru par l’entrepreneur l’un des critères permettant de reconnaître l’existence d’une activité indépendante. Quant aux dépenses du courtier, elles ne lui sont remboursées, alors même que l’affaire n’a pas abouti, que si cela a été convenu (art. 413 al. 3 CO). Pour toutes ces raisons, il s’impose généralement de considérer que le courtier exerce une activité indépendante (TF H 6/05 du 19 mai 2006 consid. 2.1 et références citées).</w:t>
      </w:r>
    </w:p>
    <w:p>
      <w:r>
        <w:rPr>
          <w:b/>
        </w:rPr>
        <w:t>E. 4</w:t>
      </w:r>
    </w:p>
    <w:p>
      <w:r>
        <w:t>a) En l’espèce, l’intimée soutient que l’assuré, dépendant de la recourante et ne supportant aucun risque d’entreprise, ne remplit pas les conditions cumulatives pour être reconnu indépendant.</w:t>
      </w:r>
    </w:p>
    <w:p>
      <w:r>
        <w:t>- 14 - Pour sa part, la recourante estime que le critère du risque d’entreprise doit céder le pas à celui de la dépendance organisationnelle au vu de l’activité de services réalisée. A cet égard, l’assuré définit seul le temps consacré à son activité tout comme le moment et le lieu où il l’exerce. b) Cela étant, la Caisse a fondé son appréciation uniquement sur le formulaire d’affiliation rempli par l’assuré et la convention signée avec la recourante. Or, l’assuré a adressé un unique formulaire pour annoncer l’exercice de deux activités, celle d’agent-intermédiaire de joueurs de football et celle d’apporteur d’affaires dans le domaine bancaire, et requérir son affiliation en tant que personne de condition indépendante en lien avec celles-ci. Les informations contenues dans ce formulaire concernaient tantôt l’activité d’agent de joueurs de football, tantôt celle d’apporteur d’affaires, sans distinction possible. Le seul renseignement complémentaire requis par la Caisse avait trait à la date du début de chaque activité. Il était toutefois attendu de l'intimée qu'elle requière de l'assuré qu'il remplisse deux formulaires distincts pour chacune de ses activités. Invité à reprendre contact avec la Caisse lorsque son activité d'apporteur d'affaires aurait débuté, l'assuré lui a adressé la convention d'intermédiaire conclue avec la recourante. La Caisse a dès lors rendu sa décision en se fondant sur cette unique pièce. Or, cela s’avère insuffisant pour statuer selon toutes les circonstances du cas d’espèce, lesquelles sont totalement inconnues. Le dossier ne contient en effet aucune information sur la manière concrète dont l’assuré exerce son activité d’apporteur d’affaires pour la recourante, dont il facture ses services, dont il réclame le paiement de ses honoraires, dont ceux-ci sont versés et les dates auxquelles ils l’ont été. On ignore également si, concrètement, l’assuré reçoit des directives et, le cas échéant, le contenu de celles-ci. L’intimée n’a pas non plus instruit la question de savoir comment l’assuré coordonne son activité indépendante accessoire et son activité principale salariée. Le contrat de travail produit par l’assuré à l’appui de son recours n’indique effectivement pas le taux d’activité, le salaire perçu et l’horaire</w:t>
      </w:r>
    </w:p>
    <w:p>
      <w:r>
        <w:t>- 15 - de travail pratiqué. En se fondant uniquement sur la convention d’intermédiaire et en n’instruisant pas davantage la question de l'exercice concret de l'activité d’apporteur d’affaires pour la recourante, l’intimée a violé son obligation d’instruire. L’intimée s’est en outre limitée à transmettre la convention d’intermédiaire et l'opposition de la recourante à la Caisse de compensation D.________ pour recueillir son avis. A réception de celui-ci, elle s’est contentée de faire siennes les constatations de la Caisse de compensation D.________, ce qui ne peut être considéré comme une mesure d'instruction suffisante. c) Il ressort des considérants qui précèdent que l’instruction menée par l’intimée est lacunaire et ne permet pas de se prononcer en connaissance de cause. Il convient par conséquent de renvoyer la cause à cette autorité, à qui il appartiendra de requérir les renseignements utiles mentionnés ci-dessus et la production des pièces idoines, dès lors que c’est à elle qu’il incombe en premier lieu d’instruire, conformément au principe inquisitoire qui régit la procédure dans le domaine des assurances sociales (art. 43 al. 1 LPGA).</w:t>
      </w:r>
    </w:p>
    <w:p>
      <w:r>
        <w:rPr>
          <w:b/>
        </w:rPr>
        <w:t>E. 5</w:t>
      </w:r>
    </w:p>
    <w:p>
      <w:r>
        <w:t>a) Le recours doit être admis et la décision sur opposition du 21 décembre 2018 annulée, la cause étant renvoyée à l’intimée pour instruction complémentaire au sens des considérants et nouvelle décision. b) Il n’y a pas lieu de percevoir de frais judiciaires, la procédure étant gratuite (art. 61 let. a LPGA). c) Obtenant gain de cause avec l’assistance d’un mandataire qualifié, la recourante a droit à une indemnité de dépens à titre de participation aux honoraires de son conseil (art. 61 let. g LPGA), qu’il convient d’arrêter à 1’500 fr., débours et TVA compris (art. 10 et 11 TFJDA [tarif du 28 avril 2015 des frais judiciaires et des dépens en matière administrative ; BLV 173.36.5.1]), et de mettre à la charge de l’intimée qui succombe.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