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ZC19.001334 vom 23. Juli 2020</w:t>
      </w:r>
    </w:p>
    <w:p>
      <w:r>
        <w:t>VD Tribunal cantonal, 2020-07-23, FR</w:t>
      </w:r>
    </w:p>
    <w:p>
      <w:r>
        <w:rPr>
          <w:b/>
        </w:rPr>
        <w:t xml:space="preserve">Quelle: </w:t>
      </w:r>
      <w:r>
        <w:t>https://mcp.opencaselaw.ch/entscheid/vd_gerichte_ZC19.001334</w:t>
      </w:r>
    </w:p>
    <w:p>
      <w:r>
        <w:t>FR: VD_GERICHTE ZC19.001334 du 23 juillet 2020</w:t>
      </w:r>
    </w:p>
    <w:p>
      <w:r>
        <w:t>IT: VD_GERICHTE ZC19.001334 del 23 luglio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a) Le litige porte sur l'obligation de la recourante de payer des cotisations paritaires pour les années 2013 à 2014 sur des montants de reprise de 32'626 fr., singulièrement sur la question de la qualification de l'activité (salariée ou indépendante) exercée par K.________ auprès de celle-ci, les montants de reprise relatifs à W.________, soit 11'400 fr. n’étant pas contestés par la recourante déjà au stade de l’opposition.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consid.1).</w:t>
      </w:r>
    </w:p>
    <w:p>
      <w:r>
        <w:rPr>
          <w:b/>
        </w:rPr>
        <w:t>E. 3</w:t>
      </w:r>
    </w:p>
    <w:p>
      <w:r>
        <w:t>a) Lorsqu'une caisse de compensation fixe le montant des cotisations paritaires par voie de décision, elle crée une obligation aussi bien à l'égard de l'employeur que de l'employé (art. 4, 5, 12 et 13 LAVS), si bien que la décision doit être notifiée tant à l'employeur qu'aux salariés concernés. Lorsqu'il apparaît que le salarié doit être mis en mesure de s'opposer, puis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Cette jurisprudence signifie notamment que l'autorité judiciaire de première instance, saisie d'un recours dirigé contre une décision relative à des cotisations paritaires, laquelle aurait dû être notifiée à tous les salariés intéressés, ne peut juger l'affaire au fond aussi longtemps que cette violation du droit d'être entendu subsiste. En revanche, elle n'exprime pas</w:t>
      </w:r>
    </w:p>
    <w:p>
      <w:r>
        <w:t>- 7 - une obligation faite aux premiers juges, laquelle consisterait à leur imposer de recueillir eux-mêmes l'avis des assurés intéressés, mais uniquement la manière dont il peut être remédié à cette violation (TF 9C_461/2012 du 24 octobre 2012 consid. 3.1 et les références citées). Le tribunal saisi de la cause peut certes opter pour un appel en cause des salariés intéressés, notamment lorsque des motifs d'économie de la procédure le justifient. Rien ne s'oppose cependant à ce qu'il prononce, pour des raisons propres au cas d'espèce, le renvoi préalable de la cause à l'administration, afin que celle-ci respecte le droit des salariés de recevoir personnellement notification de la décision litigieuse et, le cas échéant, celui de participer à la procédure préparatoire de cette même décision (ATF 113 V 1 consid. 4a). Des exceptions à cette règle sont toutefois admises, par exemple lorsque le nombre des salariés est élevé, quand le domicile des salariés se trouve à l'étranger ou n'est pas connu, ou encore lorsqu'il s'agit de montants de cotisations de minime importance (ATF 113 V 1 cons. 3a). b)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En particulier,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(ATF 128 V 278 consid. 5b/bb). c) En l'espèce, au vu du dossier, il apparaît que les décisions initiales et sur opposition n'ont été notifiées qu'à l'employeur, à l'exclusion de K.________. Même si les montants en cause ne sauraient être considérés</w:t>
      </w:r>
    </w:p>
    <w:p>
      <w:r>
        <w:t>- 8 - comme étant de minime importance, il semble que l’intéressé ne soit plus domicilié en Suisse, respectivement que son domicile n’est pas connu. Dans ce contexte, il n’était pas possible pour l’intimée d’inviter K.________ à participer à la procédure et de se déterminer avant de rendre les décisions initiales, raison pour laquelle il convient de discuter d’emblée du fond du litige.</w:t>
      </w:r>
    </w:p>
    <w:p>
      <w:r>
        <w:rPr>
          <w:b/>
        </w:rPr>
        <w:t>E. 4</w:t>
      </w:r>
    </w:p>
    <w:p>
      <w:r>
        <w:t>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(loi fédérale du 20 décembre 1946 sur l'assurance-vieillesse et survivants ; RS 831.10),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au sens des dispositions mentionnées ci- avant ne doit pas être tranché d'après la nature juridique du rapport contractuel entre les partenaires. Ce qui est déterminant, bien plutôt, ce sont les circonstances économiques (ATF 140 V 241 consid. 4.2 et les références citées).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w:t>
      </w:r>
    </w:p>
    <w:p>
      <w:r>
        <w:t>- 9 -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Le risque économique encouru par l'entrepreneur peut être défini comme étant celui que court la personne qui doit compter, en raison d'évaluations ou de comportements professionnels inadéquats, avec des pertes de la substance économique de l'entreprise.</w:t>
      </w:r>
    </w:p>
    <w:p>
      <w:r>
        <w:rPr>
          <w:b/>
        </w:rPr>
        <w:t>E. 5</w:t>
      </w:r>
    </w:p>
    <w:p>
      <w:r>
        <w:t>En l’espèce, l’intimée a considéré que K.________ avait exercé une activité dépendante pour le compte de la recourante en 2013 et 2014, ce que cette dernière conteste. a) K.________ a adressé neuf factures à la recourante du 16 décembre 2012 au 15 juillet 2014. Il en ressort très clairement qu’il a effectué pour le compte de cette dernière des travaux d’agencement en menuiserie, tels que la pose d’armoires de salle de bains, de plinthes et de parquet ; il a également procédé à de la location et à de la vente de matériel (pont roulant, outillage, armoire, etc.). En outre, ces factures sont libellées sous le nom de P.________, les montants ayant été versés par</w:t>
      </w:r>
    </w:p>
    <w:p>
      <w:r>
        <w:t>- 10 - virement bancaire auprès d’un compte de la N.________ au nom de K.________ avec pour adresse celle de la menuiserie selon les indications non contestées de la recourante, étant précisé que les documents y afférents n’ont pas été versés au dossier. En tout état de cause, à défaut de réserve sur ce point, il convient de retenir que les montants mentionnés sur les factures correspondent aux sommes versées par la recourante. La recourante a ainsi fait appel à K.________ en tant qu’indépendant, qui a effectivement exercé ses activités en tant que tel. Rien n’indique que le prénommé se trouvait dans un rapport de subordination avec la société, ni qu’il dépendait d’elle quant à l’organisation de son travail. Au contraire, il a exercé ses activités à son propre compte, sous le nom de l’entreprise P.________. La question de la qualification des relations juridiques entre la recourante et K.________ peut être laissée ouverte, celle-ci n’ayant pas d’influence sur les considérations qui précèdent. b) Au vu de ces circonstances, les différents éléments soulevés par l’intimée, tels que l’absence de correspondance entre la police utilisée pour l’en-tête et le reste de la facture, les fautes d’orthographe dans les factures (au niveau du corps de texte, dans l’adresse du destinataire ou dans le nom de la société figurant dans la signature) et le décalage des tableaux figurant sur les factures, ne suffisent pas pour admettre l’exercice d’une activité dépendante. On observera qu’il s'agit pour l'essentiel de fautes de forme (ponctuation, orthographe et syntaxe) et probablement d’une maîtrise imparfaite des outils informatiques qui ne nuisent cependant pas à la compréhension des factures et qui ne sont par ailleurs pas décisives pour qualifier l’activité déployée par K.________. En tout état de cause, l’intimée ne pouvait pas conclure à une activité salariée sur la seule base du dossier dont elle disposait qui ne contenait aucun indice sérieux d’une telle activité par K.________.</w:t>
      </w:r>
    </w:p>
    <w:p>
      <w:r>
        <w:t>- 11 - De même, l’absence de numéro de TVA sur les devis, ainsi qu’un numéro de TVA non valable sur les montants facturés ne sont pas des éléments déterminants dans le cas d’espèce, étant donné qu’un indépendant peut ne pas y être assujetti, notamment s’il réalise un chiffre d’affaires annuel inférieur à 100'000 fr. (art. 10 al. 2 let. a LTVA [loi fédérale du 12 juin 2009 régissant la taxe sur la valeur ajoutée ; RS 641.20]). L’intimée ne peut pas non plus se prévaloir du fait que K.________ n’était ni inscrit au registre du commerce, ni auprès d’une caisse de compensation en qualité d’indépendant, pour en conclure qu’il était un employé de la recourante. L’intimée ne saurait en définitive reprocher à la recourante de ne pas avoir procédé à de telles vérifications et soutenir qu’elle doit en supporter les conséquences. En l’occurrence, les éléments sont en effet suffisamment clairs pour considérer que K.________ a agi en qualité d’indépendant, même si ce dernier n’était pas affilié à une caisse AVS en cette qualité – ni même inscrit au registre du commerce – lorsqu’il a déployé des activités pour la recourante. Qu’il ait violé ses obligations de s’annoncer à une caisse de compensation ne permet pas de poser une présomption d’activité salariée, que la recourante aurait la charge de réfuter par la production d’un contrat de bail, d’une facture des services industriels, d’un contrat de travail entre P.________ et K.________ ou de documents obtenus auprès de la CNA, puis d’intenter une action récursoire à l’encontre de celui-ci comme l’a suggéré l’intimée. c) Ainsi, les différentes activités exercées par K.________ pour la recourante l'ayant été en qualité d’indépendant, l’intimée n’était pas en droit de facturer des cotisations AVS sur les montants qui lui ont été versés, ainsi que des intérêts moratoires y relatifs. Il en va autrement pour W.________, dont ni le statut, ni les salaires pris en considération n’ont été contestés par la recourante dans le cadre de la présente procédure. La recourante obtenant gain de cause, sa demande d’auditionner un témoin devient ainsi sans objet.</w:t>
      </w:r>
    </w:p>
    <w:p>
      <w:r>
        <w:t>- 12 -</w:t>
      </w:r>
    </w:p>
    <w:p>
      <w:r>
        <w:rPr>
          <w:b/>
        </w:rPr>
        <w:t>E. 6</w:t>
      </w:r>
    </w:p>
    <w:p>
      <w:r>
        <w:t>Il résulte de ce qui précède que le recours doit être admis et la décision sur opposition attaquée annulée en ce qu'elle concerne les cotisations AVS et les intérêts moratoires relatifs à K.________. La décision précitée doit être confirmée pour le surplus, en ce qu’elle concerne les cotisations AVS et les intérêts moratoires relatifs à W.________. L’issue du recours rend sans objet la requête d’effet suspensif.</w:t>
      </w:r>
    </w:p>
    <w:p>
      <w:r>
        <w:rPr>
          <w:b/>
        </w:rPr>
        <w:t>E. 7</w:t>
      </w:r>
    </w:p>
    <w:p>
      <w:r>
        <w:t>a) La recourante,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2’500 fr. à titre de dépens, portée à la charge de l'intimée, qui succombe (art. 55 al. 2 LPA-VD). b) La procédure étant gratuite, il n’est pas perçu de frais judicaires (art. 61 let. a LPGA). Par ces motifs, la juge unique p r o n o n c e : I. Le recours est admis, en tant qu’il porte sur les cotisations AVS et les intérêts moratoires relatifs à K.________. II. La décision sur opposition rendue le 29 novembre 2018 par G.________ est annulée en tant qu’elle porte sur les cotisations AVS et les intérêts moratoires relatifs à K.________. Elle est confirmée pour le surplus.</w:t>
      </w:r>
    </w:p>
    <w:p>
      <w:r>
        <w:t>- 13 - III. G.________ versera à U.________ la somme de 2'500 fr. (deux mille cinq cents francs) à titre de dépens. IV. Il n’est pas perçu de frais de justice. La juge unique : La greffière : Du L'arrêt qui précède est notifié à : - Me Nicolas Mattenberger, avocat (pour U.________), - 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