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ZC18.055920 vom 29. August 2019</w:t>
      </w:r>
    </w:p>
    <w:p>
      <w:r>
        <w:t>VD Tribunal cantonal, 2019-08-29, FR</w:t>
      </w:r>
    </w:p>
    <w:p>
      <w:r>
        <w:rPr>
          <w:b/>
        </w:rPr>
        <w:t xml:space="preserve">Quelle: </w:t>
      </w:r>
      <w:r>
        <w:t>https://mcp.opencaselaw.ch/entscheid/vd_gerichte_ZC18.055920</w:t>
      </w:r>
    </w:p>
    <w:p>
      <w:r>
        <w:t>FR: VD_GERICHTE ZC18.055920 du 29 août 2019</w:t>
      </w:r>
    </w:p>
    <w:p>
      <w:r>
        <w:t>IT: VD_GERICHTE ZC18.055920 del 29 agosto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w:t>
      </w:r>
    </w:p>
    <w:p>
      <w:r>
        <w:t>- 5 -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l’obligation du recourant de verser à la Z.________ un montant de 22'772 fr. 50 au titre de la réparation du dommage que l’intimée allègue avoir subi ensuite du non-paiement des cotisations sociales par S.________ pour l’année 2015.</w:t>
      </w:r>
    </w:p>
    <w:p>
      <w:r>
        <w:rPr>
          <w:b/>
        </w:rPr>
        <w:t>E. 3</w:t>
      </w:r>
    </w:p>
    <w:p>
      <w:r>
        <w:t>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ATF 132 III 523 consid. 4.4). b) En vertu de l’art. 52 LAVS, l’employeur qui, intentionnellement ou par négligence grave, n’observe pas des prescriptions et cause ainsi un dommage à la caisse de compensation, est</w:t>
      </w:r>
    </w:p>
    <w:p>
      <w:r>
        <w:t>- 6 -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(al.3). c) Les personnes qui sont légalement ou formellement organes d’une personne morale entrent en principe toujours en considération en tant que responsables subsidiaires aux conditions de l’art. 52 LAVS. Le Tribunal fédéral a en particulier reconnu la responsabilité du gérant d’une société à responsabilité limitée (ATF 126 V 237). d)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w:t>
      </w:r>
    </w:p>
    <w:p>
      <w:r>
        <w:t>- 7 -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w:t>
      </w:r>
    </w:p>
    <w:p>
      <w:r>
        <w:t>- 8 - des prescriptions de droit public sur le paiement des cotisations d’assurances sociales. Les mêmes exigences s’imposent également lorsqu’il s’agit d’apprécier la responsabilité subsidiaire des organes de l’employeur. f)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108 V 183 consid. 2 ; TF 9C_338/2007 du 21 avril 2008 consid. 3.1).</w:t>
      </w:r>
    </w:p>
    <w:p>
      <w:r>
        <w:rPr>
          <w:b/>
        </w:rPr>
        <w:t>E. 4</w:t>
      </w:r>
    </w:p>
    <w:p>
      <w:r>
        <w:t>a) Dans le cas d’espèce, durant la période où les cotisations sociales n’ont pas été versées, soit du 1er janvier 2015 au 9 juillet 2015, date à laquelle la faillite de la société a été prononcée, le recourant était inscrit au Registre du commerce en tant qu’associé gérant de S.________ au bénéfice d’un droit de signature collective à deux. A ce titre, il avait formellement la qualité d’organe de cette société. Ainsi, et dès lors que cette dernière est devenue insolvable, le recourant peut, sur le principe, être recherché aux conditions de l’art. 52 LAVS. b) A l’appui de sa contestation, le recourant fait valoir qu’il n’est pas responsable du dommage subi par l’intimée, dans la mesure où la gestion de la société, exclusivement assurée par K.________, lui a totalement échappé. Il invoque également qu’il n’a lui-même jamais travaillé au sein de S.________.</w:t>
      </w:r>
    </w:p>
    <w:p>
      <w:r>
        <w:t>- 9 - Ces arguments ne suffisent pas à libérer le recourant de sa responsabilité envers l’intimée. En effet, en sa qualité d’associé gérant, il était tenu de contrôler de manière régulière la situation de la société ; il lui incombait en particulier de veiller personnellement à ce que les cotisations sociales soient effectivement payées à la caisse de compensation, indépendamment de la répartition interne des tâches entre son associé et lui. Il ne peut se libérer de sa responsabilité en se bornant à invoquer qu’il n’exerçait pas, dans les faits, d’activité de gestion, car ce désintérêt est en lui-même constitutif d’une négligence grave. C’est en effet son inaction qui est reprochée au recourant et qui constitue la violation de ses devoirs. En conservant sa position d’associé gérant, dont il prétend ne pas avoir assumé les charges dans les faits, le recourant se trouvait dans une position comparable à celle d’un « homme de paille », qui se déclare prêt à assumer ou conserver un mandat d’administrateur d’une société anonyme ou d’associé gérant d’une Sàrl, tout en sachant qu’il ne pourra ou ne voudra pas le remplir consciencieusement. C’est précisément en cela qu’il viole son obligation de diligence (TF 9C_446/2014 du 2 septembre 2014 consid. 4.2 et références citées). Dans ces conditions, le recourant ne peut donc pas se prévaloir du fait qu’il ne s’occupait pas de l’administration de la société pour se dédouaner de toute responsabilité dans le dommage subi par l’intimée. Il y a ainsi lieu de retenir que le recourant n’a pas respecté la diligence que l’on pouvait attendre de lui en matière de gestion de la société dont il était associé gérant et qu’il a violé par négligence grave les devoirs qui lui incombaient à ce titre. Le lien de causalité entre le manquement qui lui est imputable et le préjudice subi exigé par l’art. 52 LAVS est en outre réalisé puisque le fait pour le recourant de délaisser l’administration de la société était propre à causer le dommage tel que subi par l’intimée (ATF 129 II 312 consid. 3.3 et référence citée ; ATF 119 Ib 334 consid. 5b). Le recourant n’invoque au demeurant aucun élément susceptible d’être un motif suffisamment extraordinaire propre à rompre le lien de causalité entre son comportement et le dommage litigieux. En</w:t>
      </w:r>
    </w:p>
    <w:p>
      <w:r>
        <w:t>- 10 - particulier, le fait que K.________ puisse également être tenu comme responsable du dommage subi par l’intimée ne permet pas au recourant de se décharger de tout ou partie de ses obligations envers la caisse. En effet, s’il existe une pluralité de responsables, la caisse de compensation jouit d’un concours d’actions et le rapport interne entre les coresponsables ne la concerne pas. Chacun des débiteurs répond solidairement envers elle de l’intégralité du dommage et il lui est loisible de rechercher tous les débiteurs, ou seul un d’entre eux, à son choix (ATF 119 V 86 consid. 5a et les références). c) En conséquence, le recourant doit être reconnu comme responsable du dommage subi par l’intimée et est tenu de le réparer.</w:t>
      </w:r>
    </w:p>
    <w:p>
      <w:r>
        <w:rPr>
          <w:b/>
        </w:rPr>
        <w:t>E. 5</w:t>
      </w:r>
    </w:p>
    <w:p>
      <w:r>
        <w:t>Le dommage, dont l'ampleur est égale au capital dont la caisse de compensation se trouve frustrée, comprend les cotisations paritaires dues en vertu des lois concernées (LAVS/APG/Al/LACI et LAFam) (ATF 108 V 189 consid. 2c).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fondés sur l'art. 41bis RAVS, ils sont dus en raison du retard dans le paiement des cotisations, si bien qu'ils font aussi partie du dommage (ATF 121 Ill 382). Dans sa décision du 27 novembre 2018, l’intimée a constaté qu’elle avait subi un dommage de 22'772 fr. 50 dans la faillite S.________. Il n’y a aucun motif de s’écarter de ce montant, que le recourant n’a d’ailleurs pas contesté. Par conséquent, c’est à juste titre que l’intimée a considéré que le recourant a violé son devoir de diligence et commis une négligence grave au sens de l’art. 52 LAVS, engageant ainsi sa responsabilité dans la survenance du dommage subi par l’intimée en raison du non-paiement des cotisations dues. Il doit dès lors répondre du dommage à hauteur de 22'772 fr. 50.</w:t>
      </w:r>
    </w:p>
    <w:p>
      <w:r>
        <w:t>- 11 -</w:t>
      </w:r>
    </w:p>
    <w:p>
      <w:r>
        <w:rPr>
          <w:b/>
        </w:rPr>
        <w:t>E. 6</w:t>
      </w:r>
    </w:p>
    <w:p>
      <w:r>
        <w:t>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au recourant qui succombe (cf. art. 55 al. 1 LPA-VD et 61 let. g LPGA), ni à la Caisse, qui n’y a pas droit en sa qualité d’assureur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