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ZC18.043831 vom 16. August 2021</w:t>
      </w:r>
    </w:p>
    <w:p>
      <w:r>
        <w:t>VD Tribunal cantonal, 2021-08-16, FR</w:t>
      </w:r>
    </w:p>
    <w:p>
      <w:r>
        <w:rPr>
          <w:b/>
        </w:rPr>
        <w:t xml:space="preserve">Quelle: </w:t>
      </w:r>
      <w:r>
        <w:t>https://mcp.opencaselaw.ch/entscheid/vd_gerichte_ZC18.043831</w:t>
      </w:r>
    </w:p>
    <w:p>
      <w:r>
        <w:t>FR: VD_GERICHTE ZC18.043831 du 16 août 2021</w:t>
      </w:r>
    </w:p>
    <w:p>
      <w:r>
        <w:t>IT: VD_GERICHTE ZC18.043831 del 16 agosto 2021</w:t>
      </w:r>
    </w:p>
    <w:p>
      <w:pPr>
        <w:pStyle w:val="Heading2"/>
      </w:pPr>
      <w:r>
        <w:t>Erwägungen</w:t>
      </w:r>
    </w:p>
    <w:p>
      <w:r>
        <w:rPr>
          <w:b/>
        </w:rPr>
        <w:t>E. 5</w:t>
      </w:r>
    </w:p>
    <w:p>
      <w:r>
        <w:t>Dans un premier moyen d'ordre formel, le recourant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w:t>
      </w:r>
    </w:p>
    <w:p>
      <w:r>
        <w:t>- 16 -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 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w:t>
      </w:r>
    </w:p>
    <w:p>
      <w:r>
        <w:t>- 17 -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F.________,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F.________ prononcée avec effet au 9 mars 2015, emportant le constat d'insolvabilité de cet employeur. Partant, l'intimée disposait donc manifestement de la qualité pour agir contre le recourant, dont le premier moyen se trouve ainsi écarté.</w:t>
      </w:r>
    </w:p>
    <w:p>
      <w:r>
        <w:rPr>
          <w:b/>
        </w:rPr>
        <w:t>E. 6</w:t>
      </w:r>
    </w:p>
    <w:p>
      <w:r>
        <w:t>Dans un second moyen, le recourant invoque la prescription du droit d'agir en responsabilité à son encontre. a) Selon l'art. 52 al. 3 LAVS, dans sa teneur du 1er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w:t>
      </w:r>
    </w:p>
    <w:p>
      <w:r>
        <w:t>- 18 -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 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w:t>
      </w:r>
    </w:p>
    <w:p>
      <w:r>
        <w:t>- 19 -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 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w:t>
      </w:r>
    </w:p>
    <w:p>
      <w:r>
        <w:t>- 20 -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w:t>
      </w:r>
    </w:p>
    <w:p>
      <w:r>
        <w:t>- 21 -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 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w:t>
      </w:r>
    </w:p>
    <w:p>
      <w:r>
        <w:t>- 22 -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w:t>
      </w:r>
    </w:p>
    <w:p>
      <w:r>
        <w:rPr>
          <w:b/>
        </w:rPr>
        <w:t>E. 10</w:t>
      </w:r>
    </w:p>
    <w:p>
      <w:r>
        <w:t>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w:t>
      </w:r>
    </w:p>
    <w:p>
      <w:r>
        <w:t>- 29 - b) En l'espèce, dès lors que deux décisions distinctes ont été rendues par l'intimée et que chacun des administrateurs concernés a agi séparément en procédure, dans un cadre temporel et pour des montants en restitution différents,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w:t>
      </w:r>
    </w:p>
    <w:p>
      <w:r>
        <w:rPr>
          <w:b/>
        </w:rPr>
        <w:t>E. 11</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w:t>
      </w:r>
    </w:p>
    <w:p>
      <w:r>
        <w:rPr>
          <w:b/>
        </w:rPr>
        <w:t>E. 12</w:t>
      </w:r>
    </w:p>
    <w:p>
      <w:r>
        <w:t>a) Partant, mal fondé, le recours doit être rejeté, et la décision attaquée confirmée dans le sens et la mesure des considérants qui précèdent. b) La procédure étant gratuite en vertu du droit fédéral, n'y a pas lieu de percevoir de frais judiciaires (art. 61 let. a LPGA dans sa teneur en vigueur jusqu’au 31 décembre 2020, applicable conformément à l’art. 82a LPGA).</w:t>
      </w:r>
    </w:p>
    <w:p>
      <w:r>
        <w:t>- 30 - c) Il n'y a pas lieu d'allouer de dépens, ni au recourant, débouté de ses conclusions tendant à la nullité comme à l'annulation de la décision attaquée (art. 55 LPA-VD),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