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ZC18.016950 vom 25. März 2019</w:t>
      </w:r>
    </w:p>
    <w:p>
      <w:r>
        <w:t>VD Tribunal cantonal, 2019-03-25, FR</w:t>
      </w:r>
    </w:p>
    <w:p>
      <w:r>
        <w:rPr>
          <w:b/>
        </w:rPr>
        <w:t xml:space="preserve">Quelle: </w:t>
      </w:r>
      <w:r>
        <w:t>https://mcp.opencaselaw.ch/entscheid/vd_gerichte_ZC18.016950</w:t>
      </w:r>
    </w:p>
    <w:p>
      <w:r>
        <w:t>FR: VD_GERICHTE ZC18.016950 du 25 mars 2019</w:t>
      </w:r>
    </w:p>
    <w:p>
      <w:r>
        <w:t>IT: VD_GERICHTE ZC18.016950 del 25 marzo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compétent (art. 56 al. 1 et 57 LPGA). En dérogation à l’art. 58 al. 1 LPGA, le tribunal des assurances du canton dans lequel l'employeur est domicilié est compétent pour traiter les recours en matière de responsabilité au sens de l’art. 52 LAVS (art. 52 al. 5 LAVS). Lorsque l'employeur possède une succursale dans un canton différent de celui de l'établissement principal, c'est l'autorité de recours du canton dans lequel la caisse de compensation cantonale - à laquelle l'employeur est affilié - a son siège qui est compétente. Dans le cas où l'employeur est affilié à une caisse professionnelle et possède une ou plusieurs succursales situées dans des cantons différents de celui de l'établissement principal, l'ancien Tribunal fédéral des assurances a jugé plus judicieux que l'autorité de recours du canton dans lequel la succursale a son siège soit compétente, lorsque celle-ci est affiliée à une autre caisse que celle de l'établissement principal en vertu de l'art. 117 al.</w:t>
      </w:r>
    </w:p>
    <w:p>
      <w:r>
        <w:rPr>
          <w:b/>
        </w:rPr>
        <w:t>E. 3</w:t>
      </w:r>
    </w:p>
    <w:p>
      <w:r>
        <w:t>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 les employeurs doivent envoyer aux caisses périodiquement, les pièces comptables concernant les salaires versés à leurs employés de manière à ce que les cotisations paritaires puissent être calculées et faire l’objet d’une décision. De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Un dommage au sens de l’art. 52 LAVS se produit lorsque l'employeur ne déclare pas à l'AVS tout ou partie des salaires qu'il verse à ses employés et que les cotisations correspondantes se trouvent ultérieurement frappées de péremption selon l'art. 16 al. 1 LAVS, ou</w:t>
      </w:r>
    </w:p>
    <w:p>
      <w:r>
        <w:t>- 9 -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Enfin, la causalité est adéquate si, d'après le cours ordinaire des choses et l'expérience de la vie, le fait considéré était propre à</w:t>
      </w:r>
    </w:p>
    <w:p>
      <w:r>
        <w:t>- 10 - entraîner un effet du genre de celui qui s'est produit, la survenance de ce résultat paraissant de façon générale favorisée par une telle circonstance (ATF 119 V 401 consid. 4a). La jurisprudence a en outre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les références).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TF H 76/06 du 11 juillet 2007 consid. 7.2). En d’autres termes, la responsabilité du nouvel administrateur pour le dommage causé avant son entrée en fonction n’est pas engagée s’il ne pouvait rien faire pour réparer ce dommage, car la société anonyme était déjà ce point endettée que, pour des motifs de fait ou de droit, les charges sociales étaient déjà irrécupérables (TF 9C_841/2010 consid. 4, in SJ 2012 p. 133, 135 et les références).</w:t>
      </w:r>
    </w:p>
    <w:p>
      <w:r>
        <w:rPr>
          <w:b/>
        </w:rPr>
        <w:t>E. 4</w:t>
      </w:r>
    </w:p>
    <w:p>
      <w:r>
        <w:t>a) En l’occurrence, il n’est pas contesté que le recourant revêtait le statut d’administrateur de la société Y.________ SA du 8 février 2016 jusqu’à sa démission le 24 novembre 2016 et que la société ne s’est pas acquittée des cotisations sociales de ses employés durant l’année 2015, étant précisé que les arriérés en question ont été facturés le 6 avril 2016.</w:t>
      </w:r>
    </w:p>
    <w:p>
      <w:r>
        <w:t>- 11 - La question qui se pose est celle de savoir si le recourant peut être tenu responsable du dommage causé à l’intimée, du fait du non- paiement des cotisations sociales durant l’année 2015.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subi. Selon la jurisprudence citée supra, la responsabilité du nouvel administrateur pour le dommage causé avant son entrée en fonction n’est pas engagée s’il ne pouvait rien faire pour réparer ce dommage, car la société anonyme était déjà à ce point endettée que, pour des motifs de fait ou de droit, les charges sociales étaient déjà irrécupérables (cf. TF 9C_841/2010 consid. 4, in SJ 2012 p. 133, 135 et les références). Le recourant allègue comme principal argument qu’il n’a fait que tenter de redresser une situation déjà critique et que la société était déjà surendettée au moment de son entrée en fonction de sorte que sa faillite était inévitable. A l’évidence, les pièces produites par le recourant à l’appui de sa réplique démontrent que, lors de la prise de son mandat, la société rencontrait déjà de sérieuses difficultés économiques ; preuves en sont notamment les courriers du syndicat [...] et du Ministère public de [...], ainsi que les commandements de payer notifiés. Les dates de ces documents tendent par ailleurs à corroborer les propos du recourant, de sorte qu’il ne saurait être à priori exclu que le surendettement existait déjà avant le mandat d’administrateur de l’intéressé. Le dossier ne contient pour le surplus ni compte d’exploitation, ni bilan qui serait propre établir la situation économique exacte de la société durant la période litigieuse.</w:t>
      </w:r>
    </w:p>
    <w:p>
      <w:r>
        <w:t>- 12 - Par ailleurs, dans l’hypothèse d’un surendettement de la société à la date de l’entrée en fonction du recourant, il incombait à celui- ci de prendre différentes mesures, notamment d’assainissement, voire d’avis au juge (art. 725 al. 1 et 2 de la loi fédérale du 30 mars 1911 complétant le Code civil suisse [Livre cinquième : Droit des obligations], RS 220 ; ci-après : CO). Or, en l’état du dossier, on ignore si de telles mesures ont été prises sous l’administration du recourant, cas échéant, si celles-ci étaient adéquates et conformes aux exigences tant de la loi que de son mandat d’administrateur. En l’absence de telles mesures, le recourant pourrait avoir contribué à l’accroissement du dommage et devoir, par voie de conséquence, répondre de ce fait. b) Il ressort des considérants qui précèdent que l’instruction menée par l’intimée n’est pas complète et ne permet pas de se prononcer en connaissance de cause sur l’argument du surendettement préexistant dont se prévaut le recourant,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le mandat du recourant. En présence d’un état de fait incomplet, il convient d’annuler la décision sur opposition et de renvoyer la cause à l’intimée, dès lors que c’est à elle qu’il incombe en premier lieu d’instruire, conformément au principe inquisitoire qui régit la procédure dans le domaine des assurances sociales (art. 43 al. 1 LPGA). Il lui appartiendra d’obtenir à tout le moins la production des comptes d’exploitation et du bilan au 31 décembre 2015, ainsi que toutes les pièces justificatives permettant de connaître l’évolution de la situation financière de la société entre le 1er janvier 2015 et le 8 février 2016, cas échéant de vérifier si la procédure d’annonce obligatoire en cas de surendettement prévue à l’art. 725 CO a été respectée par le recourant.</w:t>
      </w:r>
    </w:p>
    <w:p>
      <w:r>
        <w:t>- 13 -</w:t>
      </w:r>
    </w:p>
    <w:p>
      <w:r>
        <w:rPr>
          <w:b/>
        </w:rPr>
        <w:t>E. 6</w:t>
      </w:r>
    </w:p>
    <w:p>
      <w:r>
        <w:t>a) Le recours doit ainsi être admis et la décision attaquée annulée, la cause étant renvoyée à l’intimée pour instruction complémentaire au sens des considérants, puis nouvelle décision. b) Il n’y a pas lieu de percevoir de frais judiciaires,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