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ZC18.011664 vom 3. Oktober 2018</w:t>
      </w:r>
    </w:p>
    <w:p>
      <w:r>
        <w:t>VD Tribunal cantonal, 2018-10-03, FR</w:t>
      </w:r>
    </w:p>
    <w:p>
      <w:r>
        <w:rPr>
          <w:b/>
        </w:rPr>
        <w:t xml:space="preserve">Quelle: </w:t>
      </w:r>
      <w:r>
        <w:t>https://mcp.opencaselaw.ch/entscheid/vd_gerichte_ZC18.011664</w:t>
      </w:r>
    </w:p>
    <w:p>
      <w:r>
        <w:t>FR: VD_GERICHTE ZC18.011664 du 3 octobre 2018</w:t>
      </w:r>
    </w:p>
    <w:p>
      <w:r>
        <w:t>IT: VD_GERICHTE ZC18.011664 del 3 ottobre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c) Vu la valeur litigieuse inférieure à 30'000 fr., la cause est de la compétence du juge unique (art. 94 al. 1 let. a LPA-VD).</w:t>
      </w:r>
    </w:p>
    <w:p>
      <w:r>
        <w:rPr>
          <w:b/>
        </w:rPr>
        <w:t>E. 2</w:t>
      </w:r>
    </w:p>
    <w:p>
      <w:r>
        <w:t>S’agissant de la recevabilité du recours, il convient d’examiner plus avant la qualité pour agir de la recourante. a) En matière d’assurances sociales, a qualité pour recourir quiconque est touché par la décision ou la décision sur opposition et a un intérêt digne d’être protégé à ce qu’elle soit annulée ou modifiée (art. 59 LPGA). Constitue un intérêt digne de protection, au sens de la disposition précitée,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w:t>
      </w:r>
    </w:p>
    <w:p>
      <w:r>
        <w:t>- 5 - dans un rapport particulier et spécialement étroit avec l’objet du litige (ATF 135 II 145 consid. 6.1 ; 133 II 400 consid. 2.2 et les références citées). b) En l’espèce, on observe que la décision sur opposition litigieuse est provisoire. Dès lors que la caisse AVS lui demande le paiement immédiat des cotisations, R.________ SA a néanmoins un intérêt digne de protection à recourir au sens de l’art. 59 LPGA. Par ailleurs, aucune décision finale n’a été rendue entre-temps.</w:t>
      </w:r>
    </w:p>
    <w:p>
      <w:r>
        <w:rPr>
          <w:b/>
        </w:rPr>
        <w:t>E. 3</w:t>
      </w:r>
    </w:p>
    <w:p>
      <w:r>
        <w:t>Le litige porte sur la fixation des acomptes de cotisations AVS provisoires pour le mois de janvier 2018.</w:t>
      </w:r>
    </w:p>
    <w:p>
      <w:r>
        <w:rPr>
          <w:b/>
        </w:rPr>
        <w:t>E. 4</w:t>
      </w:r>
    </w:p>
    <w:p>
      <w:r>
        <w:t>Sur le fond, la recourante invoque dans un premier grief d’ordre formel la nullité de la décision sur opposition faute de signature par une personne habilitée, en se fondant notamment sur l’extrait du registre du commerce de la Fédération Z.________ et du Centre L.________. a) Tout d’abord, il est précisé que l’intimée n’est ni la Fédération Z.________, ni le Centre L.________, mais la caisse AVS de la Fédération Z.________, soit une caisse de compensation au sens des art. 53 ss LAVS. Il est donc sans incidence que K.________ ne dispose d'aucun pouvoir de représentation de la Fédération Z.________ ou du Centre L.________. b) Aux termes de l'art. 100 RAVS, le règlement d'une caisse doit être remis à l'office fédéral qui est compétent pour l'approuver, en l'occurrence l'OFAS (Office fédéral des assurances sociales). L'art. 101 al. 1 RAVS dispose que le règlement de la caisse doit contenir les dispositions sur le droit de vote des membres du comité de direction et des suppléants éventuels, ainsi que sur la capacité de prendre des décisions et des modalités des décisions.</w:t>
      </w:r>
    </w:p>
    <w:p>
      <w:r>
        <w:t>- 6 - Selon son règlement d'organisation du 1er janvier 2000, approuvé par l'OFAS, le comité de direction, organe suprême de la caisse AVS, désigne les personnes autorisées à signer en son nom (art. 11 let. g). L'art. 13 ch. 4 du règlement d'organisation de l'intimée précise qu'outre les tâches énumérées à l'article 63 de la loi, le gérant a notamment pour attributions les décisions concernant la réparation de dommages causés par un employeur et mesures à prendre en cas d'opposition, dans le cadre de l'article 81 du règlement d'exécution (let. d), et la gestion des autres tâches attribuées selon l'article 3, alinéa 2 du règlement (let. e). Aux termes de l'art. 63 al. 1 LAVS, les caisses de compensation ont notamment l'obligation de fixer les cotisations (let. a), de décider leur réduction ou leur remise ainsi que de percevoir les cotisations et servir les rentes et allocations pour impotents dans la mesure où un employeur n'en est pas chargé (let. c). L'art. 81 du règlement d'exécution dans sa teneur en vigueur au 1er janvier 2000 (art. 81 RAVS), régissait la procédure de réparation des dommages causés par un employeur. Il a été abrogé avec effet au 1er janvier 2003, dans le cadre de l'entrée en vigueur de la LPGA. Cette compétence spécifique du gérant est sans rapport aucun avec l'objet du litige. Quant à l'art. 3 al. 2 du règlement de l'intimée, il précise que d'autres tâches peuvent être attribuées à la caisse, en vertu de l'art. 63 al. 3 et 4 de la loi, et des art. 130 ss du règlement d'exécution (RAVS). L'art. 63 al. 3 et 3 LAVS autorise le Conseil fédéral (al. 3), respectivement la Confédération (al. 4) à confier d'autres tâches aux caisses de compensation, les art. 130 ss RAVS régissant les modalités de cette délégation. Ces dispositions sont sans rapport avec le pouvoir de représentation litigieux ; elles n'attribuent aucune compétence exclusive de représentation au gérant en matière de cotisations.</w:t>
      </w:r>
    </w:p>
    <w:p>
      <w:r>
        <w:t>- 7 - Pour le surplus, ni la LPGA, ni la LAVS, ni leurs dispositions d'application, n'imposent de modalités de signature particulières pour les décisions formelles. L'OFAS a néanmoins spécifié dans la Circulaire sur le contentieux dans l'AVS, l'AI, les APG et les PC (CCONT) qu'une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(ATF 138 Il 501 consid. 3.1 ; TF 9C_245/2015 du 19 août 2015 consid. 4.1). c) En l'occurrence, le règlement d'organisation de la caisse respecte l'art. 101 al. 1 RAVS dans la mesure où il prévoit en son art. 11 let. g que le comité de direction de la caisse désigne les personnes autorisées à signer en son nom (art. 11 let. g). Le comité de direction a fait usage de cette prérogative et établi une liste des personnes désignées qui, par leur signature individuelle ou collective, engagent la responsabilité de la caisse. Dans cette liste figure le nom de K.________ en sa qualité de chef de service. Il apparaît qu'il a qualité pour représenter l'intimée avec signature individuelle pour la correspondance courante et pour les paiements courants par CCP. Il découle de l'obligation incombant à la caisse intimée de fixer et percevoir les cotisations (art. 63 al. 1 let. a et c LAVS) celle de</w:t>
      </w:r>
    </w:p>
    <w:p>
      <w:r>
        <w:t>- 8 - communiquer à l'employeur des décisions arrêtant les montants à percevoir, que ce soit à titre provisoire ou définitif. En l'absence de dispositions légales ou réglementaires imposant une signature collective à deux en matière de décision et dans la mesure où le comité de direction lui a conféré la signature individuelle, K.________ a qualité pour représenter la caisse intimée. En l'espèce, les décisions arrêtant les cotisations mensuelles sont générées informatiquement sous forme de décomptes non signés, intégrant un bulletin de versement, diverses informations ainsi que les moyens de droit. Quant à la décision sur opposition, elle est signée par K.________. Celui-ci a qualité pour représenter l'intimée en matière de correspondance courante et de paiements courants par CCP. Au vu de la jurisprudence précitée, la nullité des décisions fixant le montant des cotisations mensuelles ne saurait être prononcée. Une décision sur opposition n'est en revanche pas assimilable à une correspondance courante. Il convient en conséquence de déterminer si la signature par K.________ de la décision sur opposition constitue une cause de nullité. Hormis dans les cas expressément prévus par la loi, la nullité n'est admise qu'à titre exceptionnel, lorsque les circonstances sont telles que le système de l'annulabilité n'offre manifestement pas la protection nécessaire (ATF 138 II 501 consid. 3.1 ; 137 I 273 consid. 3.1 et 133 II 366 consid. 3.1). La nullité n'est reconnue que si le vice est particulièrement grave et manifeste et si elle ne met pas sérieusement en danger la sécurité du droit (ATF 136 II 489 consid. 3.3 ; 132 II 21 consid. 3.1 ; 129 1361 consid. 2.1). Dans le cas d’espèce, la fonction de chef de service de K.________ de même que la titularité de la signature individuelle pour les correspondances courantes et paiements CCP courants démontrent que la caisse intimée lui a conféré à tout le moins la responsabilité du calcul et de l'encaissement des cotisations provisoires, et ce manifestement jusqu'au stade de la décision sur opposition. Il n'apparaît pas que l'intéressé a outrepassé ses pouvoirs tels que définis à l'interne mais</w:t>
      </w:r>
    </w:p>
    <w:p>
      <w:r>
        <w:t>- 9 - plutôt que leur description dans la liste de signatures est lacunaire. En de telles circonstances, on ne saurait admettre l'existence d'un vice particulièrement grave et manifeste. Par ailleurs, la décision sur opposition litigieuse porte sur une décision provisoire. La recourante disposera donc de la faculté de contester le montant définitif des cotisations dès communication par la caisse intimée du décompte annuel établi pour l'exercice 2018 en application de l'art. 36 RAVS. Cela étant, l'annulabilité de décisions sur opposition elles-mêmes provisoires ne saurait être prononcée, plus particulièrement lorsque comme dans le cas d'espèce, seule la quotité et non le principe des cotisations est litigieux.</w:t>
      </w:r>
    </w:p>
    <w:p>
      <w:r>
        <w:rPr>
          <w:b/>
        </w:rPr>
        <w:t>E. 5</w:t>
      </w:r>
    </w:p>
    <w:p>
      <w:r>
        <w:t>La recourante fait également valoir qu’aucune décision sur le montant des cotisations ne pouvait être rendue, faute de connaître les salaires 2018. a) Conformément à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Constitue une telle variation un écart d’au moins 10 % de la masse salariale annuelle prévue initialement (Michel Valterio, Droit de l'assurance-vieillesse et survivants [AVS] et de l'assurance-invalidité [AI], Genève/Zurich/Bâle 2011, p. 187 n° 614 ; Directives de l’Office fédéral des assurances sociales sur la perception des cotisations dans l’AVS, AI et APG, n° 2048). En vertu de l’art. 36 RAVS, les décomptes des employeurs comprennent les indications nécessaires à la mise en compte des cotisations et à leur inscription dans les comptes individuels des assurés (al. 1). Les employeurs doivent fournir le décompte des salaires dans les</w:t>
      </w:r>
    </w:p>
    <w:p>
      <w:r>
        <w:t>- 10 - 30 jours qui suivent le terme de la période de décompte (al. 2).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 Les cotisations seront payées à la caisse par les employeurs chaque mois si la masse salariale annuelle dépasse 200'000 fr. (art. 34 al. 1 let. a RAVS). Les cotisations dues pour une période de paiement doivent être acquittées au plus tard dans les dix jours à compter de la fin de la période de paiement (art. 34 al. 3, première phrase, RAVS). b) La perception des acomptes périodiques est impérative (art. 35 al. 1, première phrase, RAVS) et les caisses de compensation sont autorisées à se baser sur une masse salariale qualifiée de probable (art. 35 al. 1, deuxième phrase, RAVS) et non définitive. L’art. 35 al. 2 RAVS permet au demeurant de corriger des variations importantes (10 %), négatives comme positives, de la masse salariale en cours d’année. C’est ainsi à juste titre que l’intimée a envoyé des décomptes provisoires à la recourante en se fondant sur la masse salariale probable. Elle a en outre demandé à plusieurs reprises à R.________ SA de lui envoyer les informations relatives à la masse salariale 2017 déjà, sans succès. La recourante allègue dans le cadre du recours l’existence de variations de la masse salariale, sans toutefois en apporter la preuve. Elle n’a pas non plus informé l’intimée de telles variations comme le lui impose la disposition précitée, démarche qui aurait été dans son intérêt dans l’hypothèse d’une diminution de la masse salariale.</w:t>
      </w:r>
    </w:p>
    <w:p>
      <w:r>
        <w:rPr>
          <w:b/>
        </w:rPr>
        <w:t>E. 6</w:t>
      </w:r>
    </w:p>
    <w:p>
      <w:r>
        <w:t>a) Il résulte de ce qui précède que le recours, mal fondé, doit être rejeté, ce qui entraîne la confirmation de la décision attaquée. b) Selon l'art. 61 let. a LPGA, la procédure de recours en droit des assurances sociales est gratuite, sous réserve d'une procédure menée</w:t>
      </w:r>
    </w:p>
    <w:p>
      <w:r>
        <w:t>- 11 -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R.________ SA avait déjà procédé à l'encontre de l’intimée à réitérées reprises pour contester, en vain, la fixation des acomptes de cotisations AVS provisoires relatives à l’année 2017. Elle a été rendue attentive à la possibilité de retirer le recours du 19 mars 2018 vu l’issue des précédentes procédures et l’entrée en force de l’arrêt du 19 mars 2018. Néanmoins, elle n’a pas réagi. Dans ces circonstances, le maintien du recours pour un contexte de fait litigieux identique à celui déjà tranché relève de la témérité et fonde une astreinte aux frais, qui seront arrêtés à 200 fr. et mis à la charge de la recourante. c) S’agissant des dépens (art. 91 LPA-VD, applicable par renvoi de l’art. 99 LPA-VD), il n’y a pas lieu d’en allouer dès lors que la recourante n’obtient pas gain de cause (art. 55 LPA-VD) et que l’intimée n’a pas été appelée à procéder dans le cadre de la présente cause. Par ces motifs, la juge unique p r o n o n c e : I. Le recours est rejeté. II. La décision sur opposition rendue le 19 mars 2018 par la Caisse AVS de la Fédération Z.________ est confirmée. III. Les frais de justice, arrêtés à 200 fr. (deux cents francs), sont mis à la charge de R.________ SA.</w:t>
      </w:r>
    </w:p>
    <w:p>
      <w:r>
        <w:t>- 12 - IV. Il n’est pas alloué de dépens. La juge unique : La greffière : Du L'arrêt qui précède est notifié à : - Cabinet fiduciaire et fiscal J.-D. Monribot SA (pour R.________ SA), - Caisse AVS de la Fédération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