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ZC18.010250 vom 25. Oktober 2018</w:t>
      </w:r>
    </w:p>
    <w:p>
      <w:r>
        <w:t>VD Tribunal cantonal, 2018-10-25, FR</w:t>
      </w:r>
    </w:p>
    <w:p>
      <w:r>
        <w:rPr>
          <w:b/>
        </w:rPr>
        <w:t xml:space="preserve">Quelle: </w:t>
      </w:r>
      <w:r>
        <w:t>https://mcp.opencaselaw.ch/entscheid/vd_gerichte_ZC18.010250</w:t>
      </w:r>
    </w:p>
    <w:p>
      <w:r>
        <w:t>FR: VD_GERICHTE ZC18.010250 du 25 octobre 2018</w:t>
      </w:r>
    </w:p>
    <w:p>
      <w:r>
        <w:t>IT: VD_GERICHTE ZC18.010250 del 25 ottobre 2018</w:t>
      </w:r>
    </w:p>
    <w:p>
      <w:pPr>
        <w:pStyle w:val="Heading2"/>
      </w:pPr>
      <w:r>
        <w:t>Erwägungen</w:t>
      </w:r>
    </w:p>
    <w:p>
      <w:r>
        <w:rPr>
          <w:b/>
        </w:rPr>
        <w:t>E. 1</w:t>
      </w:r>
    </w:p>
    <w:p>
      <w:r>
        <w:t>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où l’intimée a son siège, il s’agit de la Cour des assurances sociales du Tribunal cantonal (art. 93 let. a LPA-VD [loi cantonale vaudoise du 28 octobre 2008 sur la procédure administrative ; RSV 173.36]). Le recours doit être déposé dans les trente jours suivant la notification de la décision sujette à recours (art. 60 al. 1 LPGA). b) En l'espèce, déposé en temps utile et dans le respect des formalités prévues par la loi (art. 61 let. b LPGA notamment), le recours est recevable.</w:t>
      </w:r>
    </w:p>
    <w:p>
      <w:r>
        <w:rPr>
          <w:b/>
        </w:rPr>
        <w:t>E. 2</w:t>
      </w:r>
    </w:p>
    <w:p>
      <w:r>
        <w:t>Est litigieuse la question de savoir si l’activité déployée par B.________ pour le compte de N.________ doit être qualifiée d’indépendante ou de salariée.</w:t>
      </w:r>
    </w:p>
    <w:p>
      <w:r>
        <w:rPr>
          <w:b/>
        </w:rPr>
        <w:t>E. 3</w:t>
      </w:r>
    </w:p>
    <w:p>
      <w:r>
        <w:t>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w:t>
      </w:r>
    </w:p>
    <w:p>
      <w:r>
        <w:t>- 5 -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b)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w:t>
      </w:r>
    </w:p>
    <w:p>
      <w:r>
        <w:t>- 6 - outre, la possibilité pour le travailleur d'organiser son horaire de travail ne signifie pas nécessairement qu'il s'agit d'une activité indépendante (arrêt 9C_1062/2010 du 5 juillet 2011 consid. 7.2 et les références, arrêt 9C_460/2015 du 18 novembre 2015 consid. 3.3).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9C_624/2011 du 25 septembre 2012 consid. 2.2, 9C_1062/2010 du 5 juillet 2011 consid. 7.3 et les références; voir aussi ATF 119 V 161 consid. 3b p. 163).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9C_364/2013 du 23 septembre 2013 consid. 2.2 et les références, arrêt 9C_460/2015 du 18 novembre 2015 consid. 3.4). 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les rapports de service sont régis par un contrat de voyageur de commerce ou par un contrat d'agence</w:t>
      </w:r>
    </w:p>
    <w:p>
      <w:r>
        <w:t>- 7 -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(arrêt 9C_946/2009 du 30 septembre 2010 consid. 5.1, in SVR 2011 AHV n° 11 p. 33; voir également arrêt 9C_796/2014 du 27 avril 2015 consid. 3.4, arrêt H 14/87 du 24 août 1987 consid. 2b et les références, in RCC 1988 p. 398).</w:t>
      </w:r>
    </w:p>
    <w:p>
      <w:r>
        <w:rPr>
          <w:b/>
        </w:rPr>
        <w:t>E. 4</w:t>
      </w:r>
    </w:p>
    <w:p>
      <w:r>
        <w:t>Le solde du prix de vente du kit sera réglé ultérieurement par la commerçante.</w:t>
      </w:r>
    </w:p>
    <w:p>
      <w:r>
        <w:rPr>
          <w:b/>
        </w:rPr>
        <w:t>E. 5</w:t>
      </w:r>
    </w:p>
    <w:p>
      <w:r>
        <w:t>Les parties conviennent expressément que N.________ à 4 heures pourra compenser le solde du prix de vente du kit par les honoraires qui seront dû à la commerçante.</w:t>
      </w:r>
    </w:p>
    <w:p>
      <w:r>
        <w:rPr>
          <w:b/>
        </w:rPr>
        <w:t>E. 6</w:t>
      </w:r>
    </w:p>
    <w:p>
      <w:r>
        <w:t>Les parties conviennent expressément que le solde du prix de vente du kit est entièrement exigible 3 mois après la remise du kit de démonstration par N.________ à la commerçante. Article 6 Honoraires de la vendeuse [...] 1 Dans le cadre du présent contrat, la commerçante percevra une commission de 20% sur les ventes, hors taxes et hors frais de port,</w:t>
      </w:r>
    </w:p>
    <w:p>
      <w:r>
        <w:t>- 9 - sur tous les produits commandés par des tiers lors d’une [...] animée et organisée par la commerçante. 2 Aucun autre honoraires ou aucun autre frais et débours ne sont versés entre les parties concernant les services de la commerçante. 3 Les commandes seront dues uniquement sur les commandes payées intégralement par les tiers. 4 Les commandes seront versées à la commerçante par N.________ au plus tôt le mois suivant le paiement intégral des commandes par les tiers à N.________. b) Sur le vu de ce qui précède, il sied de constater qu’B.________ ne dispose d’aucune organisation de vente propre. En effet, par la signature du contrat en question, B.________ s’est engagée à acquérir un kit de démonstration. Ce n’est que grâce à celui-ci qu’elle peut procéder aux animations de vente à son domicile et enregistrer les commandes, qu’elle transmettra ensuite auprès de la recourante. De plus, le contrat prévoit le respect strict d’un document intitulé « concept – [...] – carnet de route, exigences mutuelles et réciproque à une collaboration harmonieuse », lequel fixe un certain nombre d’incombances que chaque vendeuse doit respecter. Force est d’admettre, eu égard aux instructions formulées par la recourante, que la liberté d’B.________ afin d’organiser ses ventes se trouve passablement réduite. On relèvera ensuite que la vendeuse n’agit pas en son propre nom et pour son propre compte, mais a pour tâche de promouvoir les produits figurant dans le catalogue de la recourante. Une fois la vente conclue, elle transfère, à l’instar d’un représentant de commerce, les commandes à la société recourante, laquelle fixe les prix et se charge de l’encaissement. Ce n’est d’ailleurs qu’une fois l’encaissement effectué que la recourante verse à ses vendeuses les honoraires dus, soit 20% du chiffre des ventes effectuées. Contrairement à ce que soutient la recourante, il n’y a pas lieu de considérer que le critère du risque économique serait rempli en l’espèce, aux motifs que chaque vendeuse prendrait à sa charge les divers frais engendrés par son activité (frais de déplacement, frais de téléphone etc.), qu’elle serait seule chargée d’organiser les animations en question</w:t>
      </w:r>
    </w:p>
    <w:p>
      <w:r>
        <w:t>- 10 - et qu’elle devrait payer le kit de démonstration. Comme l’a relevé le Tribunal fédéral dans une affaire similaire (TFA H 61/02 du 22 mai 2003 consid. 3.3), ce genre de dépenses, modestes, ne sauraient constituer des investissements d'une certaine importance, suffisantes pour admettre l’existence d’un risque économique réel à supporter par la vendeuse. c) Il n’est pas contesté qu’B.________ jouit d’une certaine liberté dans l’organisation de son activité, qu’elle peut travailler selon l'horaire et le rythme qui lui conviennent et qu’elle prend en charge divers frais liés à l’organisation des animations de vente. Cependant, au vu des circonstances particulières du cas d’espèce, force est de constater que les éléments en faveur d'une activité lucrative dépendante apparaissent prédominants par rapport aux indices plaidant en faveur d’une activité indépendante. 5. a) En définitive, le recours, mal fondé, doit être rejeté et la décision sur opposition attaquée confirmée. b) En vertu du droit fédéral, la procédure est gratuite (art. 61 let. a LPGA). c) Il n’y a pas lieu d’allouer des dépens, ni à la recourante, qui succombe (art. 55 al. 1 LPA-VD et 61 let. g LPGA), ni à la caisse intimée, qui n’y a pas droit en tant qu’assureur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