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ZC18.005044 vom 19. September 2018</w:t>
      </w:r>
    </w:p>
    <w:p>
      <w:r>
        <w:t>VD Tribunal cantonal, 2018-09-19, FR</w:t>
      </w:r>
    </w:p>
    <w:p>
      <w:r>
        <w:rPr>
          <w:b/>
        </w:rPr>
        <w:t xml:space="preserve">Quelle: </w:t>
      </w:r>
      <w:r>
        <w:t>https://mcp.opencaselaw.ch/entscheid/vd_gerichte_ZC18.005044</w:t>
      </w:r>
    </w:p>
    <w:p>
      <w:r>
        <w:t>FR: VD_GERICHTE ZC18.005044 du 19 septembre 2018</w:t>
      </w:r>
    </w:p>
    <w:p>
      <w:r>
        <w:t>IT: VD_GERICHTE ZC18.005044 del 19 settembre 2018</w:t>
      </w:r>
    </w:p>
    <w:p>
      <w:pPr>
        <w:pStyle w:val="Heading2"/>
      </w:pPr>
      <w:r>
        <w:t>Erwägungen</w:t>
      </w:r>
    </w:p>
    <w:p>
      <w:r>
        <w:rPr>
          <w:b/>
        </w:rPr>
        <w:t>E. 1</w:t>
      </w:r>
    </w:p>
    <w:p>
      <w:r>
        <w:t>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où l’intimée a son siège, il s’agit de la Cour des assurances sociales du Tribunal cantonal (art. 93 let. a LPA-VD [loi cantonale vaudoise du 28 octobre 2008 sur la procédure administrative ; RSV 173.36]). Le recours doit être déposé dans les trente jours suivant la notification de la décision sujette à recours (art. 60 al. 1 LPGA). b) En l'espèce, déposé en temps utile et dans le respect des formalités prévues par la loi (art. 61 let. b LPGA notamment), le recours est recevable. Au vu de la période durant laquelle L.________ a exercé une activité auprès du Centre K.________ (de février 2016 à décembre 2017) et de la rémunération obtenue à ce titre, la valeur litigieuse, correspondant au montant des cotisations qui pourraient être réclamées à W.________ à titre de reprises de salaires, est largement inférieure à 30'000 francs. Le présent litige relève donc de la compétence d’un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- 8 - des liens étroits avec la question litigieuse (ATF 134 V 418 consid. 5.2.1, 131 V 164 consid. 2, 125 V 413 consid. 2c). b) En l’espèce, le litige porte sur le statut de L.________, savoir sa qualité de dépendante ou d’indépendante, pour son activité déployée auprès du Centre K.________.</w:t>
      </w:r>
    </w:p>
    <w:p>
      <w:r>
        <w:rPr>
          <w:b/>
        </w:rPr>
        <w:t>E. 3</w:t>
      </w:r>
    </w:p>
    <w:p>
      <w:r>
        <w:t>Une décision de refus d'une demande d'affiliation comme travailleur indépendant, et par conséquent d'inscription au registre en tant que tel, est de nature formatrice (ATF 132 V 257 ; TF 9C_308/2017 du 17 mai 2018 consid. 1, non publié in ATF 144 V 111). La caisse a dès lors à juste titre rendu une décision susceptible d'être attaquée par la voie de l'opposition, puis une décision sur opposition sujette à recours, également notifiées à l’employeur (ATF 132 V 257).</w:t>
      </w:r>
    </w:p>
    <w:p>
      <w:r>
        <w:rPr>
          <w:b/>
        </w:rPr>
        <w:t>E. 4</w:t>
      </w:r>
    </w:p>
    <w:p>
      <w:r>
        <w:t>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w:t>
      </w:r>
    </w:p>
    <w:p>
      <w:r>
        <w:rPr>
          <w:b/>
        </w:rPr>
        <w:t>E. 9</w:t>
      </w:r>
    </w:p>
    <w:p>
      <w:r>
        <w:t>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w:t>
      </w:r>
    </w:p>
    <w:p>
      <w:r>
        <w:t>- 9 -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b)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1er janvier 2018)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w:t>
      </w:r>
    </w:p>
    <w:p>
      <w:r>
        <w:t>- 10 -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 TF 9C_624/2011 du 25 septembre 2012 consid. 2.2, 9C_1062/2010 du 5 juillet 2011 consid. 7.3 et les références ; voir aussi ATF 119 V 161 consid. 3b).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la jurisprudence, un autre élément permettant de qualifier la rétribution compte tenu du lien de dépendance de celui qui la perçoit est le fait qu'il s'agit d'une collaboration régulière, autrement dit que l'employé est régulièrement tenu de fournir ses prestations au même employeur ; en outre, la possibilité pour le travailleur d'organiser son horaire de travail ne signifie pas nécessairement qu'il s'agit d'une activité indépendante (TF 9C_1062/2010 du 5 juillet 2011 consid. 7.2 et les références).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réf. cit.). Si le risque économique se limite à la dépendance à l’égard d’une activité donnée, le risque d’entrepreneur réside, en conséquence, dans le fait qu’en cas de</w:t>
      </w:r>
    </w:p>
    <w:p>
      <w:r>
        <w:t>- 11 -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les accords portant sur la situation juridique AVS des parties (ch. 1024 DSD),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c) S'agissant des enseignants, le chiffre 4014 DSD prévoit que la rétribution touchée par celui qui donne régulièrement des cours dans une école, un centre de formation ou un centre de conférence fait aussi partie du salaire déterminant ; représente des indices déterminants dans ce sens le fait que l'enseignant ne participe pas aux investissements de l'organisateur du cours, qu'il ne supporte pas le risque d'encaissement et qu'il ne doive pas chercher lui-même des élèves. 5. En l’espèce, l’intimée a retenu que l’activité déployée par L.________ auprès du Centre de soutien K.________ relevait d’une activité lucrative dépendante.</w:t>
      </w:r>
    </w:p>
    <w:p>
      <w:r>
        <w:t>- 12 - Tel que susmentionné, les DSD instituent une présomption en faveur d’une activité salariée pour les personnes qui donnent régulièrement des cours dans un centre de formation. Celle-ci n’a pas à être renversée dans le présent cas. En effet, il ressort des pièces au dossier que L.________ ne supportait pas de véritable risque économique d’entrepreneur. En particulier, elle exerçait son activité dans les locaux du Centre K.________. En outre, le fait qu’elle ne percevait aucune rémunération lorsque les élèves ne payaient pas les cours qu’elle avait donnés ne suffit pas pour considérer qu’elle supportait un risque économique d'entrepreneur, puisqu’elle n’a pas opéré d’investissement financier dans le Centre et qu’elle n’assumait pas les éventuelles pertes subies par celui-ci. De surcroît, c’était le Centre qui fixait les tarifs des cours, s’occupait de l’administration, comme les rappels, et encaissait la totalité des montants payés par les clients. Le recourant en reversait ensuite une partie à L.________. Par ailleurs, il apparaît qu’elle ne se procurait pas elle-même l’essentiel des mandats, mais que les clients s’adressaient en premier lieu au Centre K.________, lequel disposait au demeurant d’un site internet. Même si le site faisait clairement référence à une autre enseignante que le recourant pour les cours des français, il dirigeait uniquement les clients vers le Centre, avec notamment le numéro de téléphone, les horaires et les coordonnées bancaires de celui-ci. Contrairement à ce que soutient le recourant, le fait que L.________ aurait disposé de sa propre clientèle pour les cours de français ne permet pas d’emblée de considérer qu’elle exerçait une activité en qualité d’indépendante. Concernant le lien de dépendance quant à l’organisation du travail, certes L.________ déterminait elle-même le contenu de ses cours et fixait les rendez-vous avec les élèves. La jurisprudence a toutefois précisé, pour ce dernier point, que la possibilité d’organiser son horaire de travail ne signifiait pas nécessairement qu’il s’agissait d’une activité indépendante. L.________ devait en outre planifier ses cours dans le cadre des horaires et de la disponibilité des locaux de K.________. Pour le surplus,</w:t>
      </w:r>
    </w:p>
    <w:p>
      <w:r>
        <w:t>- 13 - il convient de reconnaître une collaboration régulière entre le Centre et L.________, ce qui n’est pas contesté. L’enseignante devait également dispenser personnellement ses cours. Le recourant soutient encore que L.________ était « partie avec ses clients » et continuait à leur donner des cours en tant qu’indépendante dans d’autres locaux. Cependant, dans le présent litige, seul doit être examiné le rapport liant le Centre K.________ à L.________ en 2016 et 2017, de sorte que cette allégation n’est pas déterminante. Il en va de même s’agissant du fait que L.________ aurait été d’accord de travailler comme indépendante. En effet, selon les DSD, les accords des parties portant sur leur situation juridique en matière d’AVS ne sont pas décisifs (cf. consid. 4b supra). Il ressort encore du dossier que L.________ a déployé une activité supplémentaire lors de l’absence du recourant de quelques semaines à la fin de l’année 2017, soit la gestion administrative du Centre K.________. Elle devait notamment relever les paiements effectués par les clients, s'occuper des rappels et tenir à jour le fichier clients. Pour cette activité également, L.________ ne supportait pas le risque économique d’entrepreneur, celui-ci étant entièrement assumé par le recourant, via le Centre. En outre, les activités de secrétariat présupposent une subordination, car elles sont soumises à des directives concernant l’exécution du travail. Le recourant s’est d’ailleurs plaint du fait que L.________ n’avait pas effectué ses tâches correctement, soit conformément aux instructions qu’il lui avait données. Au vu de ce qui précède, les éléments en faveur d'une activité lucrative dépendante apparaissent prédominants, de sorte que c'est à juste titre que la caisse a refusé de reconnaître à L.________ le statut d'indépendante pour le travail qu’elle a déployé auprès du Centre K.________.</w:t>
      </w:r>
    </w:p>
    <w:p>
      <w:r>
        <w:t>- 14 - 6. a) En définitive, le recours, mal fondé, doit être rejeté et la décision sur opposition attaquée confirmée. b) En vertu du droit fédéral, la procédure est gratuite (art. 61 let. a LPGA). Il n’y a pas lieu d’allouer des dépens, ni au recourant, qui succombe (art. 55 al. 1 LPA-VD et 61 let. g LPGA), ni à la caisse intimée, qui n’y a pas droit en tant qu’assureur social (ATF 128 V 323). L'appelée en cause L.________, bien qu'obtenant gain de cause, n'a pas non plus droit à des dépens, dans la mesure où elle n'est pas représentée par un mandataire professionnel (art. 61 let. g LPGA). Par ces motifs, la juge unique p r o n o n c e : I. Le recours est rejeté. II. La décision sur opposition rendue le 8 janvier 2018 par la Caisse cantonale vaudoise de compensation AVS est confirmée. III. Il n’est pas perçu de frais judiciaires, ni alloué de dépens. La juge unique : La greffière : Du</w:t>
      </w:r>
    </w:p>
    <w:p>
      <w:r>
        <w:t>- 15 - L'arrêt qui précède est notifié à : - W.________ - Caisse cantonale vaudoise de compensation AVS -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