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ZC17.048331 vom 6. August 2018</w:t>
      </w:r>
    </w:p>
    <w:p>
      <w:r>
        <w:t>VD Tribunal cantonal, 2018-08-06, FR</w:t>
      </w:r>
    </w:p>
    <w:p>
      <w:r>
        <w:rPr>
          <w:b/>
        </w:rPr>
        <w:t xml:space="preserve">Quelle: </w:t>
      </w:r>
      <w:r>
        <w:t>https://mcp.opencaselaw.ch/entscheid/vd_gerichte_ZC17.048331</w:t>
      </w:r>
    </w:p>
    <w:p>
      <w:r>
        <w:t>FR: VD_GERICHTE ZC17.048331 du 6 août 2018</w:t>
      </w:r>
    </w:p>
    <w:p>
      <w:r>
        <w:t>IT: VD_GERICHTE ZC17.048331 del 6 agosto 2018</w:t>
      </w:r>
    </w:p>
    <w:p>
      <w:pPr>
        <w:pStyle w:val="Heading2"/>
      </w:pPr>
      <w:r>
        <w:t>Erwägungen</w:t>
      </w:r>
    </w:p>
    <w:p>
      <w:r>
        <w:rPr>
          <w:b/>
        </w:rPr>
        <w:t>E. 16</w:t>
      </w:r>
    </w:p>
    <w:p>
      <w:r>
        <w:t>février 2017, préalablement à la notification de la résiliation des</w:t>
      </w:r>
    </w:p>
    <w:p>
      <w:r>
        <w:t>- 6 - rapports de travail. Le courrier du 19 décembre 2016 contient notamment les éléments suivants : « […] Comme toute collaboratrice, Mme C.________ a le droit d’être respectée et protégée dans sa personnalité, conformément à l’art. 328 CO. Ce devoir de protection d’un cadre dirigeant doit être assuré par le Conseil de Fondation, qui ne peut plus rester sans réaction face aux comportements de la Commission du personnel et de certains collaborateurs. Mme C.________ demande ainsi à ce que ses prérogatives et responsabilités de Directrice soient reconnues et respectées. […] » Quant au courrier du 16 février 2017, il présente C.________ comme une « lanceuse d’alerte » au vu de problématiques préoccupantes constatées par cette dernière au sein des fondations. Les parties ont au surplus maintenu leurs déterminations respectives par écritures subséquentes des 23 avril 2018, 30 mai 2018, 4 et 5 juin 2018.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w:t>
      </w:r>
    </w:p>
    <w:p>
      <w:r>
        <w:t>- 7 - assurances du canton où la caisse de compensation a son siège (art. 84 LAVS). Le recours doit par ailleurs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 c) Le recours a été déposé en temps utile devant le tribunal compétent. Il respecte par ailleurs les autres conditions de forme prévues par la loi (art. 61 let. b LPGA notamment), de sorte qu’il est recevable. La valeur litigieuse constituée des cotisations dues sur une indemnité de 40'000 fr. est inférieure à 30'000 francs. Dès, lors, la présente cause relève de la compétence du juge instructeur de la Cour des assurances sociales statuant en qualité de juge unique (art. 94 al. 1 let. a LPA-VD). 2. Est litigieuse en l’espèce la qualification de l’indemnité de 40'000 fr. allouée à C.________ en vertu de la convention conclue suite à la résiliation des rapports de travail. Singulièrement, il s’agit de déterminer si cette indemnité est sujette ou non à la perception de cotisations sociales. 3. a) Au sens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- 8 - L’art. 6 al. 1 RAVS (règlement du 31 octobre 1947 sur l’assurance-vieillesse et survivants ; RS 831.101) précise que le revenu provenant d’une activité lucrative comprend, sous réserve des exceptions mentionnées expressément dans les dispositions qui suivent, le revenu en espèce ou en nature tiré en Suisse ou à l’étranger de l’exercice d’une activité, y compris les revenus accessoires. L’art. 7 RAVS énumère de manière non exhaustive une série d’éléments répondant à la notion de salaire déterminant. L’art. 7 let. q RAVS mentionne notamment les prestations versées par l’employeur lors de la cessation des rapports de travail, si elles ne sont pas exceptées du salaire déterminant en vertu des art. 8bis ou 8ter. Ces dispositions prévoient en effet que sont exceptées du salaire déterminant les prestations sociales versées par l’employeur en cas de prévoyance professionnelle insuffisante (art. 8bis RAVS) et les prestations sociales versées par l’employeur lors de la résiliation des rapports de travail pour des impératifs d’exploitation (art. 8ter RAVS). b) Font en définitive partie du salaire déterminant toutes les sommes touchées par le salarié si leur versement est économiquement lié au contrat de travail ; peu importe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133 V 153 consid. 3.1 et les références citées). Selon cette définition, entrent donc également dans le salaire déterminant tous les revenus liés à des rapports de travail ou de service qui n’auraient pas été perçus sans ses rapports (ATF 131 V 444 consid. 1.1). Eu égard à l’art. 7 let. q RAVS, l’élément déterminant pour la prise en compte des prestations versées par l’employeur lors de la</w:t>
      </w:r>
    </w:p>
    <w:p>
      <w:r>
        <w:t>- 9 - cessation des rapports de travail est la relation directe ou indirecte, mais étroite entre les créances de l’employé et les rapports de service (VSI 1997 p. 22 consid. 3). Font notamment partie du salaire déterminant les rétributions versées au salarié en cas de résiliation anticipée des rapports de service. En revanche, les indemnités pour résiliation abusive (art. 336a CO [Code des obligations du 30 mars 1911 ; RS 220]) et pour résiliation injustifiée (art. 337c al. 3 CO) ne font pas partie du salaire déterminant (ATF 123 V 5 consid. 5 ; Michel Valterio, Droit de l’assurance-vieillesse et survivants [AVS] et de l’assurance-invalidité [AI], Genève/Zurich/Bâle 2011, n. 367, p. 118). Sont ainsi notamment considérées comme des rétributions entrant dans le salaire déterminant des paiements effectués lors du licenciement d’un directeur et de son départ en pré-retraite (VSI 1994 p. 271 consid. 4). Il en va de même d’une indemnité forfaitaire servie au départ d’une employée, suite à la résiliation des rapports de travail par consentement mutuel (TF 8C_338/2017 du 29 janvier 2018 consid. 4.1). 4. L'interprétation d’une convention doit être effectuée selon les règles générales sur l'interprétation des contrats. Il y a lieu de rechercher, tout d'abord, la réelle et commune intention des parties (art. 18 al. 1 CO).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avant de l'examiner dans son contexte ; dans ce dernier cas, toutes les circonstances ayant précédé ou accompagné sa conclusion doivent être prises en considération (cf. par exemple : ATF 140 V 145 consid. 3.3 et les références). 5. En l’espèce, il est incontesté que l’indemnité prévue à l’art. II de la convention conclue entre les parties ne rentre pas dans les</w:t>
      </w:r>
    </w:p>
    <w:p>
      <w:r>
        <w:t>- 10 - exceptions à la perception des cotisations des art. 8bis et 8ter RAVS. De même, cette indemnité ne correspond pas davantage à celle prévue à l’art. 337c al. 3 CO des suites d’une résiliation dénuée de justes motifs, ce que les recourantes ne soutiennent d’ailleurs pas. En revanche, les recourantes, ainsi que C.________, considèrent que l’indemnité en question équivaut à une indemnité pour résiliation abusive au sens de l’art. 336a CO, laquelle serait exemptée du paiement des charges sociales conformément à la jurisprudence sur cette question. L’intimée est pour sa part d’avis qu’il s’agit d’une indemnité liée à la résiliation des rapports de travail du fait des recourantes. A ce titre, elle répondrait à la notion de salaire déterminant au sens de l’art. 5 al. 2 LAVS, respectivement de l’art. 7 let. q RAVS, justifiant ainsi le paiement de cotisations sociales. Dans ce contexte, l’argument de l’intimée, selon lequel une indemnité versée en vertu de l’art. 336a CO devrait être fixée par un juge pour être valablement prise en compte est absolument sans pertinence. Ainsi que l’ont relevé à juste titre les recourantes, une telle déduction ne ressort d’aucun texte légal ou réglementaire. Bien plus, à l’instar des recourantes, on peut relever que cette exigence dénuerait de tout intérêt l’opportunité de conclure des transactions extra-judiciaires et reviendrait à imposer systématiquement le recours au juge pour éviter le risque de s’acquitter des charges sociales. Cette argumentation, réitérée par l’intimée, ne peut donc qu’être écartée. 6. Il convient dès lors d’examiner le texte de la convention, ainsi que le contexte de son établissement, pour statuer sur la nature exacte de l’indemnité litigieuse. a) On note en premier lieu qu’en préambule les parties ont expressément exposé que le but de la convention était d’offrir à l’assurée « des conditions de départ améliorées ». L’art. II al. 2 prévoit en outre que le versement de l’indemnité est « strictement lié au fait que les rapports de travail prennent fin ». Par ailleurs, il ressort de cette même disposition</w:t>
      </w:r>
    </w:p>
    <w:p>
      <w:r>
        <w:t>- 11 - que l’indemnité est susceptible de varier, soit d’être diminuée en cas de report du terme des rapports de travail. L’art. III fait enfin mention d’une « indemnité de départ ». Ces éléments plaident incontestablement en faveur d’une indemnité consécutive à la résiliation des rapports de travail, à l’inverse d’une indemnité pour résiliation abusive. On ne voit pas en l’occurrence d’ambigüité dans les termes de la convention qui viendraient faire douter de leur interprétation littérale. En particulier, on peut ajouter qu’une indemnité pour résiliation abusive ne serait en aucun cas conditionnée par la fin des rapports de travail et susceptible de varier quant à son montant au gré du terme effectif du contrat de travail. b) L’examen du contexte dans lequel est intervenue la convention conclue entre les parties ne permet pas davantage de se rallier à la position des recourantes. Quand bien même le courrier adressé par Me Favre aux recourantes le 19 décembre 2016 requiert la protection de la personnalité de C.________ conformément à l’art. 328 CO, il apparaît que ce point n’a pas été discuté plus avant dans les correspondances ultérieures pour le compte de cette dernière. Par ailleurs, ainsi que l’a relevé l’intimée dans sa réponse au recours du 4 décembre 2017, la correspondance de Me Favre du 6 mars 2017 fait mention d’un « rachat en LPP » destiné à réduire les conséquences fiscales du versement de l’indemnité. Enfin, la convention en question s’inscrit dans les suites d’une incapacité de travail attestée en faveur de C.________ dès le 28 février 2017, laquelle aurait été susceptible de prolonger l’échéance du contrat de travail. Ces constats permettent de considérer que la convention passée entre les parties a eu essentiellement pour but de planifier et de fixer des modalités de départ de l’employée. Dès lors, l’indemnité litigieuse se conforme pleinement à cet objectif et doit être qualifiée d’indemnité de départ usuelle. A ce titre, elle correspond aux prestations de l’employeur prévues à l’art. 7 let. q RAVS et doit être qualifiée de salaire déterminant sujet à la perception des charges sociales.</w:t>
      </w:r>
    </w:p>
    <w:p>
      <w:r>
        <w:t>- 12 - 7. Compte tenu des éléments qui précèdent, la décision sur opposition du 6 octobre 2017 doit être confirmée et le recours rejeté. a) Il n'y a pas lieu de percevoir de frais judiciaires, la procédure étant gratuite (art. 45 LPA-VD et 61 let. a LPGA). b) Les recourantes n’obtenant pas gain de cause, elles n’ont pas droit à des dépens (art. 61 let. g LPGA et 55 al. 1 LPA-VD). Par ces motifs, la juge unique p r o n o n c e : I. Le recours est rejeté. II. La décision sur opposition, rendue le 6 octobre 2017 par la Caisse cantonale vaudoise de compensation est confirmée. III. Il n’est pas perçu de frais judiciaires, ni alloué de dépens. La juge unique : La greffière : Du L'arrêt qui précède est notifié, par l'envoi de photocopies, à : - Me Olivier Subilia, à Lausanne (pour la Fondation D.________ et la Fondation B.________en liquidation), - Me Christian Favre, à Lausanne (pour C.________), - Caisse cantonale vaudoise de compensation, à Vevey, - Office fédéral des assurances sociales, à Berne.</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