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ZC17.003010 vom 23. Januar 2018</w:t>
      </w:r>
    </w:p>
    <w:p>
      <w:r>
        <w:t>VD Tribunal cantonal, 2018-01-23, FR</w:t>
      </w:r>
    </w:p>
    <w:p>
      <w:r>
        <w:rPr>
          <w:b/>
        </w:rPr>
        <w:t xml:space="preserve">Quelle: </w:t>
      </w:r>
      <w:r>
        <w:t>https://mcp.opencaselaw.ch/entscheid/vd_gerichte_ZC17.003010</w:t>
      </w:r>
    </w:p>
    <w:p>
      <w:r>
        <w:t>FR: VD_GERICHTE ZC17.003010 du 23 janvier 2018</w:t>
      </w:r>
    </w:p>
    <w:p>
      <w:r>
        <w:t>IT: VD_GERICHTE ZC17.003010 del 23 gennaio 2018</w:t>
      </w:r>
    </w:p>
    <w:p>
      <w:pPr>
        <w:pStyle w:val="Heading2"/>
      </w:pPr>
      <w:r>
        <w:t>Erwägungen</w:t>
      </w:r>
    </w:p>
    <w:p>
      <w:r>
        <w:rPr>
          <w:b/>
        </w:rPr>
        <w:t>E. 1</w:t>
      </w:r>
    </w:p>
    <w:p>
      <w:r>
        <w:t>a) Sous réserve de dérogations expresses, les dispositions de la LPGA (loi fédérale sur la partie générale du droit des assurances sociales du 6 octobre 2000; RS 830.1) s'appliquent à l'Assurance vieillesse et survivants (art. 1 LAVS [loi fédérale sur l'assurance-vieillesse et survivants du 20 décembre 1946; RS 831.10]). La LPA-VD (loi vaudoise sur la procédure administrative du 28 octobre 2008; RSV 173.36) est en outre applicable (art. 2 al. 1 let. c LPA-VD). b) En dérogation à l’art. 58 al. 1 LPGA, les décisions et les décisions sur opposition prises par les caisses cantonales de compensation peuvent faire l’objet d’un recours devant le tribunal des assurances du canton où la caisse de compensation a son siège (art. 84 LAVS). Dans le canton de Vaud, cette compétence échoit à la cour des assurances sociales du Tribunal cantonal (art. 93 let. a LPA-VD). c) Le recours doit être déposé dans les trente jours suivant la notification de la décision sujette à recours (art. 60 al. 1 LPGA). En l’espèce, le recours a été déposé en temps utile auprès du tribunal compétent et respecte en outre les formalités prévues par la loi (art. 61 let. b LPGA notamment), de sorte qu'il est recevable.</w:t>
      </w:r>
    </w:p>
    <w:p>
      <w:r>
        <w:rPr>
          <w:b/>
        </w:rPr>
        <w:t>E. 2</w:t>
      </w:r>
    </w:p>
    <w:p>
      <w:r>
        <w:t>a) En tant qu’autorité de recours contre des décisions prises par des assureurs sociaux, le juge des assurances sociales ne peut, en</w:t>
      </w:r>
    </w:p>
    <w:p>
      <w:r>
        <w:t>- 11 -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 130 V 138 consid. 2.1 ; 125 V 413 consid. 2c). b) Le litige porte en l’espèce sur le statut du recourant, à savoir sur sa qualité de personne de condition dépendante ou indépendante, pour son activité de conseiller en entreprise auprès de la société K.________SA, le statut de salarié ayant été reconnu – et admis par le recourant – pour l’activité de président du conseil d’administration de cette société.</w:t>
      </w:r>
    </w:p>
    <w:p>
      <w:r>
        <w:rPr>
          <w:b/>
        </w:rPr>
        <w:t>E. 3</w:t>
      </w:r>
    </w:p>
    <w:p>
      <w:r>
        <w:t>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(cf. art. 5 et 9 LAVS ; art. 6 ss RAVS [règlement fédéral du 31 octobre 1947 sur l’assurance-vieillesse et survivants ; RS 831.101]).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w:t>
      </w:r>
    </w:p>
    <w:p>
      <w:r>
        <w:t>- 12 -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b)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w:t>
      </w:r>
    </w:p>
    <w:p>
      <w:r>
        <w:t>- 13 - Ainsi, en rapport avec la définition du salaire déterminant, s’agissant de la notion de situation dépendante, le chiffre 1013 DSD (état au 1er janvier 2016)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 TF 9C_624/2011 du 25 septembre 2012 consid. 2.2, 9C_1062/2010 du 5 juillet 2011 consid. 7.3 et les références ; voir aussi ATF 119 V 161 consid. 3b).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w:t>
      </w:r>
    </w:p>
    <w:p>
      <w:r>
        <w:t>- 14 - personnel ; en pareilles circonstances, il convient d'accorder moins d'importance au critère du risque économique de l'entrepreneur et davantage à celui de l'indépendance économique et organisationnelle (TF H 19/06 du 14 février 2007 consid. 5.1 et réf. cit.).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Ainsi,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le fait que l'assuré exerce son activité à titre de profession principale ou accessoire (ch. 1025 DSD), qu’il soit affilié à une caisse de compensation en qualité de travailleur indépendant (ch. 1026 DSD) ou qu’un salarié travaille simultanément pour plusieurs employeurs (ch. 1027 DSD) ne permet pas non plus de lui reconnaître le statut d’indépendant. Selon le ch. 2042 DSD, un assuré qui a la qualité d’organe d’une personne morale peut aussi avoir la situation d’un tiers vis-à-vis de la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w:t>
      </w:r>
    </w:p>
    <w:p>
      <w:r>
        <w:t>- 15 - si l’activité pour laquelle l’indemnité est versée est liée à la qualité d’organe de la société, ou si elle aurait pu être exercée tout aussi bien indépendamment de cette fonction Selon le ch. 4107 DSD, la fonction de conseiller d’entreprise implique, de par sa nature même, plutôt une situation indépendante à l’égard de l’entreprise mandante. Les conseillers d’entreprise sont dès lors considérés comme des personnes de condition indépendante pour autant qu’ils ne se trouvent pas manifestement dans un rapport de subordination dans l’organisation du travail. Ainsi, dans l'arrêt rendu le 25 juin 1992 (RCC 1983, p. 192), le TF a considéré que le conseiller d'entreprise qui travaille d'une manière indépendante et sans être tenu de suivre des instructions pour une entreprise, avait le statut d'indépendant.</w:t>
      </w:r>
    </w:p>
    <w:p>
      <w:r>
        <w:rPr>
          <w:b/>
        </w:rPr>
        <w:t>E. 4</w:t>
      </w:r>
    </w:p>
    <w:p>
      <w:r>
        <w:t>En l’espèce, dans le questionnaire d'affiliation, le recourant a déclaré qu’il travaillait dans les locaux de ses mandants mis gratuitement à disposition, que son activité était suivie et qu'il devait effectuer lui- même son travail. Ce n’est qu’en cours de procédure que le recourant est revenu sur ses déclarations, en prétendant que les questions figurant dans le questionnaire de l’OAI n’étaient pas clairement formulées. Il a également réitéré cet argument dans son recours. A cet égard, on relèvera que, comme l’a précisé l’intimée, ce questionnaire constitue une base pour l’instruction du dossier et n’est pas à lui seul déterminant. Cela étant, vu les hautes qualifications du recourant, on ne saurait considérer qu'il n'a pas compris les questions posées dans le questionnaire. Selon la jurisprudence fédérale, il convient, lorsque les déclarations successives de l'intéressé sont contradictoires entre elles, de retenir la première affirmation, qui correspond généralement à celle que l'assuré a faite alors qu'il n'était pas encore conscient de ses conséquences juridiques, les nouvelles explications pouvant être, consciemment ou non, le produit de réflexions ultérieures (TF 8C_513/2011 du 22 mai 2012 et réf. cit.). Il y a donc lieu de retenir les premières déclarations du recourant, qui sont d'ailleurs corroborées par d'autres éléments. En effet, le recourant collabore avec la société K.________SA depuis 1997. Selon les pièces produites, ses revenus proviennent principalement de cette société et</w:t>
      </w:r>
    </w:p>
    <w:p>
      <w:r>
        <w:t>- 16 - accessoirement de ses filiales, à concurrence de 14'000 fr. par an pour les années 2008 à 2010. Quant aux revenus provenant de sa relation contractuelle avec K.________SA, ils s’élevaient à 162'753 fr. pour l’année 2008, 163'427 fr. 90 pour l’année 2009, 138'782 fr. 97 pour 2010, 136'067 fr. 81 pour l’année 2011 et à 168'271 fr. 97 pour l’année 2012. Force est ainsi de constater que le recourant collabore presque exclusivement avec K.________SA depuis de nombreuses années. Le recourant soutient que la collaboration quasi exclusive avec K.________SA résultait d’un choix, celui-ci ne se trouvant pas dans le besoin d’un point de vue financier, dès lors qu’il approchait de l’âge de la retraite. Or comme l’a relevé à juste titre l’intimée, le fait que le recourant soit à l’aise financièrement n’a pas d’incidence sur la détermination du statut AVS. En effet, l’assuré qui dépend économiquement d’un seul mandant doit être considéré comme un salarié vis-à-vis de l’AVS, sans que sa capacité financière n’ait à être examinée. Le recourant allègue, concernant la question du lien de subordination, qu’il agit en parfaite indépendance et s’organise librement, n’étant soumis à aucune contrainte d’horaire, de lieu et ne répondant à aucune instruction. Or cette question doit être examinée en fonction de l’ensemble des circonstances et ne saurait être à elle seule déterminante. A cet égard, il convient de déterminer quel est le critère prépondérant (risque économique ou rapport de dépendance), étant précisé que si le risque économique se limite à la dépendance à l’égard de l’activité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1017 et 1018 DSD). Tel est le cas en l’occurrence, compte tenu du nombre de jours facturés pour l’année 2013, l’activité du recourant pour K.________SA correspondant manifestement à celle que déploie régulièrement un consultant au profit du même mandant.</w:t>
      </w:r>
    </w:p>
    <w:p>
      <w:r>
        <w:t>- 17 - Force est enfin de constater que le recourant ne supporte pas le risque économique lié à son activité, contrairement à ce qu’il prétend. En effet, le mode de rémunération convenu entre le recourant et la société qui l’emploie, soit une rémunération forfaitaire, sans que les éventuels bénéfices ou pertes résultant de son activité de conseil n’influent sur ce montant, plaide en faveur d’une activité dépendante. Le fait que le recourant s’est vu contraint de restituer à K.________SA un montant supérieur à une année d’honoraires, faute de trésorerie suffisante, ne signifie pas encore que celui-ci agit en qualité d’indépendant. D’ailleurs, à y voir de plus près, on constate que le recourant n’a pas abandonné sa créance d’honoraires mais que celle-ci a été reprise par une autre de ses sociétés, à savoir [...] SA. On ne saurait dès lors considérer que le recourant est un tiers vis-à-vis de K.________SA, ni retenir qu’il supporte le risque économique. En définitive, l’affiliation du recourant en qualité de salarié d’un employeur étranger non tenu de cotiser est justifiée.</w:t>
      </w:r>
    </w:p>
    <w:p>
      <w:r>
        <w:rPr>
          <w:b/>
        </w:rPr>
        <w:t>E. 5</w:t>
      </w:r>
    </w:p>
    <w:p>
      <w:r>
        <w:t>Les montants des cotisations personnelles et des intérêts moratoires arrêtés par la CCVD dans ses décisions des 19 décembre 2013 et 30 juin 2014 (cf. consid. A let. b supra), n’ont pas été contestés par le recourant et aucun motif ne justifie de s’en écarter, si bien que ces montants peuvent être confirmés au stade du recours.</w:t>
      </w:r>
    </w:p>
    <w:p>
      <w:r>
        <w:rPr>
          <w:b/>
        </w:rPr>
        <w:t>E. 6</w:t>
      </w:r>
    </w:p>
    <w:p>
      <w:r>
        <w:t>a) Compte tenu de ce qui précède, le recours doit être rejeté et la décision attaquée confirmée. b) Il n'y a pas lieu de percevoir de frais judiciaires, la procédure étant gratuite (cf. art. 61 let. a LPGA), ni d'allouer de dépens, dès lors que le recourant n'obtient pas gain de cause (cf. art. 55 al. 1 LPA- VD ; cf.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