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ZC16.015977 vom 9. November 2018</w:t>
      </w:r>
    </w:p>
    <w:p>
      <w:r>
        <w:t>VD Tribunal cantonal, 2018-11-09, FR</w:t>
      </w:r>
    </w:p>
    <w:p>
      <w:r>
        <w:rPr>
          <w:b/>
        </w:rPr>
        <w:t xml:space="preserve">Quelle: </w:t>
      </w:r>
      <w:r>
        <w:t>https://mcp.opencaselaw.ch/entscheid/vd_gerichte_ZC16.015977</w:t>
      </w:r>
    </w:p>
    <w:p>
      <w:r>
        <w:t>FR: VD_GERICHTE ZC16.015977 du 9 novembre 2018</w:t>
      </w:r>
    </w:p>
    <w:p>
      <w:r>
        <w:t>IT: VD_GERICHTE ZC16.015977 del 9 novembre 2018</w:t>
      </w:r>
    </w:p>
    <w:p>
      <w:pPr>
        <w:pStyle w:val="Heading2"/>
      </w:pPr>
      <w:r>
        <w:t>Erwägungen</w:t>
      </w:r>
    </w:p>
    <w:p>
      <w:r>
        <w:rPr>
          <w:b/>
        </w:rPr>
        <w:t>E. 18</w:t>
      </w:r>
    </w:p>
    <w:p>
      <w:r>
        <w:t>juillet 2017 les noms et coordonnées des héritiers de l’assurée, à savoir son fils, D.B.________ (ci-après également : le recourant), et sa fille, C.B.________. Ils ont été invités par la Cour à indiquer s’ils entendaient poursuivre la procédure entamée par leur défunte mère.</w:t>
      </w:r>
    </w:p>
    <w:p>
      <w:r>
        <w:t>- 7 - Par pli du 28 août 2017, Me Brenci a signalé représenter désormais C.B.________, tandis que D.B.________ a précisé le 14 août 2017 avoir accepté la succession de sa mère uniquement sous bénéfice d’inventaire. C.B.________ s’est déterminée sur la consorité matérielle de la communauté héréditaire composée d’elle-même et de son frère le</w:t>
      </w:r>
    </w:p>
    <w:p>
      <w:r>
        <w:rPr>
          <w:b/>
        </w:rPr>
        <w:t>E. 22</w:t>
      </w:r>
    </w:p>
    <w:p>
      <w:r>
        <w:t>mars 2018 et a fait valoir que la participation à la présente procédure dépendait bien plutôt de la qualité de partie, respectivement de la qualité pour recourir, liée à l’existence d’un rapport suffisamment étroit et digne de protection avec l’objet du litige. En poursuivant la procédure entamée par sa défunte mère, elle reprenait la défense de son droit à des prestations complémentaires, ce qui pouvait influer sur la masse successorale et bénéficier à l’ensemble des héritiers. La question de la consorité nécessaire était ainsi sans incidence sur ladite procédure, la qualité pour recourir de feu B.B.________ devant être reconnue et son recours considéré comme recevable. Aux termes d’une correspondance du 10 avril 2018, D.B.________ a confirmé sa participation à la procédure pendante. Le 11 juin 2018, C.B.________ a indiqué maintenir les arguments et conclusions avancés pour le compte de sa mère. A la demande de la magistrate instructrice, la CCVD a adressé à la Cour de céans le 3 juillet 2018 un tirage de la correspondance du SASH, datée du 29 mars 2016, dans laquelle la valeur vénale immobilière totale du bien sis [...] avait été fixée à 510'000 francs. Par pli du 24 juillet 2018, C.B.________ s’est référée à l’argumentation développée en lien avec la qualité d’usufruitière de feu B.B.________.</w:t>
      </w:r>
    </w:p>
    <w:p>
      <w:r>
        <w:t>- 8 -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dans de tels cas (art. 93 al. 1 let. a LPA-VD). c) Déposé dans le délai légal auprès du tribunal compétent et respectant les formalités prévues par la loi (art. 61 let. b LPGA notamment), le recours interjeté par feu B.B.________ est recevable. 2. a) Aux termes de l'art. 560 CC (code civil suisse du 10 décembre 1907 ; RS 210),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 dettes (al. 2). Autrement dit, la dévolution successorale a pour objet la succession considérée comme l'ensemble des rapports de droit qui ne sont pas inséparables de la personne du défunt. Ce faisant, la</w:t>
      </w:r>
    </w:p>
    <w:p>
      <w:r>
        <w:t>- 9 - succession ne modifie pas la nature juridique des droits transférés : ceux- ci passent du défunt aux héritiers dans leur état effectif, c'est-à-dire avec toutes les qualités (avantages et désavantages) qui leur sont propres, ainsi que tous les droits accessoires et charges y relatives. En d'autres termes, la succession ne change rien à la nature des droits transférés. La communauté héréditaire se substitue au défunt et devient pleinement titulaire des droits et obligations de ce dernier, y compris les droits de nature procédurale (ATF 141 V 170 consid. 3 et références citées ; TF 9C_177/2017 du 20 juin 2017 consid. 1). b) En l’occurrence, D.B.________ et C.B.________ sont légitimés à agir en qualité d'héritiers de la défunte du fait de la dévolution successorale consacrée par l’art. 560 CC. Ils revêtent ainsi la qualité de parties à la présente procédure. 3. a) 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en l’occurrence sur le droit de feu B.B.________ à des prestations complémentaires AVS/AI dès le 1er août 2015, singulièrement sur la fixation de ses revenus déterminants et de ses dépenses. 4. Il convient d’examiner le premier moyen des recourants, soit le grief d’ordre formel relatif au défaut de motivation de la décision sur opposition entreprise.</w:t>
      </w:r>
    </w:p>
    <w:p>
      <w:r>
        <w:t>- 10 - a) Aux termes de l’art. 49 al. 1 LPGA, l’assureur doit rendre par écrit les décisions qui portent sur des prestations, créances ou injonctions importantes ou avec lesquelles l’intéressé n’est pas d’accord. Les décisions doivent être motivées si elles ne font pas entièrement droit aux demandes des parties (art. 49 al. 3 LPGA). Les obligations concrétisées à l’art. 49 LPGA ont été déduites de la jurisprudence fédérale rendue en lien avec le droit d’être entendu, garanti par l’art. 29 al. 2 Cst (Constitution fédérale de la Confédération suisse du 18 avril 1999 ; RS 101). b) Selon cette jurisprudence, le droit d'être entendu comporte notamment l'obligation pour le juge, respectivement l'administration, de motiver sa décision, afin que ses destinataires et toutes les personnes intéressées puissent la comprendre et l'attaquer utilement en connaissance de cause s'il y a lieu, et qu'une autorité de recours soit en mesure, si elle est saisie, d'exercer pleinement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(ATF 126 I 15 consid. 2a/aa ; 125 II 369 consid. 2c). En règle générale, l'étendue de l'obligation de motiver dépend de la complexité de l'affaire à juger, de la liberté d'appréciation dont jouit le juge et de la potentielle gravité des conséquences de sa décision (TF 8C_1001/2008 du 31 juillet 2009 consid. 2.2). Le juge, respectivement l'administration, n’a toutefois pas l’obligation d’exposer et de discuter tous les arguments invoqués par les parties, mais peut se limiter à ceux qui lui apparaissent pertinents (ATF 136 I 229 consid. 5.2 ; 136 V 351 consid. 4.2 et les références citées ; TF 5A_13/2011 du 8 février 2011 consid. 3.1). Dès lors que l’on peut discerner les motifs qui ont guidé la décision de l’autorité, le droit à une décision motivée est respecté même si la motivation présentée est erronée. La motivation peut d’ailleurs être</w:t>
      </w:r>
    </w:p>
    <w:p>
      <w:r>
        <w:t>- 11 - implicite et résulter des différents considérants de la décision (TF 2C_23/2009 du 25 mai 2009 consid. 3.1, publié in : RDAF 2009 Il p. 434). c)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d) En l’occurrence, à l’instar de l’intimée, on peut relever que la décision sur opposition querellée reprend et explique en détail l’ensemble des postes contestés dans le cadre de la procédure d’opposition contre la décision du 18 septembre 2015. L’intimée a au demeurant rectifié les chiffres initialement retenus, tenant largement compte des arguments soulevés au stade de ladite procédure. On ajoutera dans ce contexte que les parties ont collaboré à l’instruction de la cause et qu’une correspondance soutenue, où l’intimée a répondu aux interrogations de feu B.B.________, a été entretenue avant l’établissement de la décision sur opposition du 3 mars 2016. Il convient donc d’écarter les griefs formels développés par les recourants. Cela étant, ainsi que le souligne à juste titre l’intimée, une violation éventuelle du droit d’être entendu devrait de toute façon être considérée comme réparée, vu le plein pouvoir d’examen dont est dotée la Cour de céans. 5. a) Les personnes qui ont leur domicile et leur résidence habituelle (art. 13 LPGA) en Suisse ont droit à des prestations complémentaires, dès lors qu'elles perçoivent une rente de vieillesse de l’assurance-vieillesse et survivants ou ont droit à une rente de veuve, de veuf ou d’orphelin de l’AVS (art. 4 al. 1 let. a LPC). En vertu de l'art. 3 al. 1 LPC, les prestations complémentaires se composent de la prestation complémentaire annuelle</w:t>
      </w:r>
    </w:p>
    <w:p>
      <w:r>
        <w:t>- 12 - (let. a) et du remboursement des frais de maladie et d'invalidité (let. b). Le montant de la prestation complémentaire annuelle correspond à la part des dépenses reconnues qui excède les revenus déterminants (art. 9 al. 1 LPC). b) L'art. 10 LPC énumère les dépenses reconnues de manière exhaustive (TF 9C_822/2009 du 7 mai 2010 consid. 3.3 et la référence in : SVR 2011 EL n° 2 p. 5 ; TF 9C_945/2011 du 11 juillet 2012 consid. 5.1). Pour les personnes qui vivent en permanence ou pour une longue période dans un home ou dans un hôpital (personnes vivant dans un home ou un hôpital), les dépenses reconnues comprennent la taxe journalière, ainsi qu’un montant, arrêté par les cantons, pour les dépenses personnelles (art. 10 al. 2 let. a et b LPC). Sont en outre reconnus comme dépense pour toutes les personnes les frais d’entretien des bâtiments et les intérêts hypothécaires, jusqu’à concurrence du rendement brut de l’immeuble, ainsi notamment qu’un montant forfaitaire annuel pour l’assurance obligatoire des soins (art. 10 al. 3 let. b et d LPC). c) Les revenus déterminants comprennent généralement des ressources et des biens dont l’ayant droit a la maîtrise. L’art. 11 al. 1 LPC prévoit notamment la prise en compte du produit de la fortune mobilière et immobilière (let. b), d’un dixième de la fortune nette dans la mesure où elle dépasse 37’500 fr. pour les bénéficiaire de rentes de vieillesse (let. c), ainsi que des rentes, pensions et autres prestations périodiques, y compris les rentes de l’AVS et de l’AI (let. d). Pour les personnes vivant dans un home ou dans un hôpital, les cantons peuvent fixer le montant de la fortune qui sera pris en compte en dérogeant à l'art. 11 al. 1 let. c, les cantons étant autorisés à augmenter, jusqu'à concurrence d'un cinquième, ce montant (art. 11 al. 2 LPC). Le canton de Vaud a fait usage de cette possibilité (art. 10 RLVPC [règlement vaudois d'application de la loi du 13 novembre 2007 sur les prestations complémentaires à l'assurance- vieillesse, survivants et invalidité ; RSV 831.21.1]).</w:t>
      </w:r>
    </w:p>
    <w:p>
      <w:r>
        <w:t>- 13 - 6. S’agissant des dépenses reconnues, les recourants contestent le montant pris en compte au titre des dépenses personnelles au sens de l’art. 10 al. 2 let. b LPC. Ce montant n’est pas fixé en fonction des besoins individuels, mais il doit être arrêté de manière égalitaire par les cantons. Il doit être fixé de manière invariable, indépendamment des sommes effectivement dépensées par l’ayant droit pour assurer ses besoins vitaux (MICHEL VALTERIO, Commentaire de la loi sur les prestations complémentaires à l’AVS et à l’AI, Genève/Zurich/Bâle 2015, n. 43 ss ad art. 10 LPC). Dans le canton de Vaud, l’art. 3a LVPC (loi cantonale du 13 novembre 2007 sur les prestations complémentaires à l’assurance- vieillesse, survivants et invalidité ; RSV 831.21) prévoit un montant mensuel de 275 fr. pour une personne séjournant dans un établissement médico-social ou home non médicalisé à mission gériatrique et/ou psychiatrique de l'âge avancé. Le montant annuel de 3'300 fr. (275 x 12) pris en considération par l’intimée dans ses différents calculs doit en conséquence être confirmé. 7. Eu égard aux autres dépenses et aux revenus déterminants, les recourants contestent exclusivement les postes fondés sur la prise en compte de l’immeuble sis à [...], dont la défunte était usufruitière. a) Un droit d’usufruit en faveur de celui qui demande des prestations complémentaires représente pour son titulaire une valeur économique, dans la mesure où l’usufruitier obtient ainsi une prestation dont il ne pourrait, à défaut, bénéficier sans engager d’autres moyens financiers. Dès lors, il importe de tenir compte du produit de l’usufruit dans le calcul de la prestation complémentaire au chapitre des revenus de la fortune selon l’art. 11 al. 1 let. b LPC (TF 9C_559/2014 du 14 janvier 2015 consid. 3 ; 8C_68/2008 du 27 janvier 2009 consid. 4.2.1 et les références citées).</w:t>
      </w:r>
    </w:p>
    <w:p>
      <w:r>
        <w:t>- 14 - b) La valeur locative du logement occupé par le propriétaire ou l’usufruitier ainsi que le revenu provenant de la sous-location sont estimés selon les critères de la législation sur l’impôt cantonal direct du canton de domicile, à défaut ceux de l’impôt fédéral direct (art. 12 OPC-AVS/AI [ordonnance sur les prestations complémentaires à l’assurance-vieillesse, survivants et invalidité du 15 janvier 1971 ; RS 831.301]). Pour les immeubles habités par le propriétaire, l’usufruitier ou le bénéficiaire d’un droit d’habitation, la valeur locative de l’immeuble doit être prise en compte dans les revenus (chiffre 3433.02 DPC [directives concernant les prestations complémentaires à l’AVS et à l’AI, édictées par l’OFAS, dans leur teneur en vigueur dès le 1er janvier 2015]). Pour les cas dans lesquels le propriétaire ou l’usufruitier d’un immeuble qu’il n’habite pas lui-même renonce en totalité ou en partie à l’obtention d’un loyer ou d’un fermage, le chiffre 3482.14 DPC renvoie au chiffre 3433.03 DPC, lequel précise que les loyers et fermages doivent, en principe, être pris en compte pour leur montant contractuel. c) L'art. 17 al. 1 OPC-AVS/AI prévoit que la fortune prise en compte doit être évaluée selon les règles de la législation sur l'impôt cantonal direct du canton de domicile. Selon l’art. 17 al. 4 OPC-AVS/AI, lorsque des immeubles ne servent pas d’habitation au requérant ou à une personne comprise dans le calcul des prestations complémentaires, ils seront pris en compte à la valeur vénale. d) L'art. 16 al. 1 OPC-AVS/AI dispose que la déduction forfaitaire prévue pour l'impôt cantonal direct dans le canton de domicile s'applique aux frais d'entretien des bâtiments. Dans le canton de Vaud, cette déduction s'élève à 20% de la valeur locative (art. 3 al. 2 RDFIP [règlement du 8 janvier 2001 sur la déduction des frais relatifs aux immeubles privés, RSV 642.11.2]). e) Enfin, seul un forfait pour frais accessoires est admis pour les personnes habitant un immeuble qui leur appartient ; cette règle s’applique également aux personnes qui bénéficient d’un usufruit ou qui sont titulaires d’un droit d’habitation sur l’immeuble qu’elles habitent ; le</w:t>
      </w:r>
    </w:p>
    <w:p>
      <w:r>
        <w:t>- 15 - montant du forfait s’élève annuellement à 1'680 fr., le montant maximum au sens de l’art. 10 al. 1 let. b LPC devant toutefois être respecté (art. 16a OPC-AVS/AI). 8. a) Selon l’art. 181 CC, les époux sont placés sous le régime de la participation aux acquêts, à moins qu'ils n'aient adopté un autre régime par contrat de mariage ou qu'ils ne soient soumis au régime matrimonial extraordinaire. b) Le décès d’une personne mariée entraîne à la fois la liquidation du régime matrimonial (art. 204 al. 1 CC) et l’ouverture de la succession (art. 537 al. 1 CC). Il faut procéder en premier lieu à la liquidation du régime matrimonial, l’époux décédé y étant représenté par l’ensemble de ses héritiers (y compris le conjoint survivant si celui-ci est héritier). En d’autres termes, le patrimoine successoral du de cujus marié est constitué des biens qui reviennent à celui-ci dans la liquidation du régime matrimonial. Quant au conjoint survivant, il commence par recevoir – à titre matrimonial – ce qui lui revient dans la liquidation du régime matrimonial ; il participe ensuite – à titre d’héritier – à la succession du de cujus, dans laquelle il reçoit la part légale qui lui revient selon l’art. 462 CC (PAUL-HENRI STEINAUER, Le droit des successions, Berne 2015, n° 108). La liquidation du régime matrimonial de la participation aux acquêts se termine par la détermination d’une créance de l’un des époux contre l’autre. Il n’y a pas à ce stade de partage des biens. La succession est donc simplement constituée du patrimoine que le de cujus avait à son décès. Du fait de la liquidation du régime matrimonial, ce patrimoine est, selon les cas, augmenté d’une créance envers le conjoint survivant ou diminué d’une dette envers celui-ci (STEINAUER, op. cit., N.B. p. 94 ad n. 109). Le conjoint survivant a en définitive droit à la moitié des acquêts dans le cadre de la liquidation du régime matrimonial (cf. art. 215 al. 1 CC cité supra) et à sa part successorale selon le certificat d’héritiers. c) Selon l’art. 473 al. 1 CC, l'un des conjoints peut, par disposition pour cause de mort, laisser au survivant l'usufruit de toute la part dévolue à leurs enfants communs. Cet usufruit tient lieu du droit de</w:t>
      </w:r>
    </w:p>
    <w:p>
      <w:r>
        <w:t>- 16 - succession attribué par la loi au conjoint survivant en concours avec ces descendants (art. 473 al. 2, 1ère phrase, CC). L’art. 473 CC vise le cas du concours entre les descendants et le conjoint survivant. En dérogation à la règle de l’art. 471 CC (relatif à la réserve des descendants), il permet au de cujus de grever toute la part dévolue aux enfants communs d’un usufruit en faveur du conjoint survivant (STEINAUER, op. cit., n° 414). Le but poursuivi par l’art. 473 CC est surtout de permettre au de cujus qui ne laisse qu’un conjoint et des enfants qu’il a eus en commun avec celui-ci de léguer à son conjoint l’usufruit de toute la succession (les enfants en ayant la nue-propriété). D’une part, cela contribue à maintenir les conditions de vie que le conjoint avait avant le décès du de cujus ; d’autre part, cela évite de devoir partager la succession entre le conjoint et les enfants (STEINAUER, op. cit., n° 415). d) Enfin, on soulignera qu’en vertu de l’art. 765 al. 1 CC, l’usufruitier supporte les frais ordinaires d’entretien et les dépenses d’exploitation de la chose, ainsi que les intérêts des dettes dont elle est grevée, et il est tenu d’acquitter les impôts et autres redevances ; le tout en proportion de la durée de son droit. 9. a) En l’occurrence, l’usufruit constitué en faveur de feu B.B.________ sur le bien immobilier sis à [...] est mentionné sur le certificat d’héritier établi le 16 mai 1997 par le juge de paix du cercle [...]. Ce bien immobilier a par ailleurs été inventorié au titre d’acquêts du conjoint décédé de la précitée au terme de l’inventaire du 20 mars 1997, ce à hauteur de 80% de sa valeur fiscale provisoire (estimée à cette date à 200'000 fr., soit 160'000 fr. au titre d’acquêts). Conformément à la jurisprudence citée supra sous consid. 7a, il ne fait pas de doute que la valeur de cet usufruit, ainsi que des produits en découlant, doivent être pris en compte au titre de fortune de la défunte recourante. Il y a donc lieu de confirmer la position de l’intimée à cet égard.</w:t>
      </w:r>
    </w:p>
    <w:p>
      <w:r>
        <w:t>- 17 - On peut également confirmer que c’est à juste titre que l’intimée a pris en compte la valeur vénale du bien immobilier concerné dans la mesure où la défunte recourante ne l’occupait plus dès son entrée en home en juillet 2015 (cf. art. 17 al. 4 OPC-AVS/AI, cité sous consid. 7c supra). Dite valeur a été fixée par le SASH pour le montant de 510'000 fr., soit pour un montant supérieur à celui qui avait initialement fondé le calcul opéré par l’intimée. Le montant de 510’00 fr. communiqué au titre de valeur vénale de l’immeuble n’apparaît toutefois pas excessif ou disproportionné en comparaison de la valeur fiscale, cette dernière demeurant en général inférieure à la première. Cela étant, vu que le bien immobilier en question n’a été inventorié qu’à concurrence de 80% de sa valeur fiscale au titre d’acquêts, il y a lieu de tenir compte de cette proportion dans le cadre de la détermination de la fortune pertinente pour le calcul du droit aux prestations complémentaires. Les biens propres échappent au surplus au partage résultant de la liquidation du régime matrimonial et reviennent en totalité à la succession (cf. consid. 8b supra). On peut dès lors retenir le montant de 408'000 fr. (510'000 x 80%) au titre de montant d’acquêts, dont la moitié (204'000 fr.) appartenait à la défunte recourante suite à la liquidation du régime matrimonial. C’est en conséquence 40% de la valeur vénale de l’immeuble qui peut être retenue en tant que propriété de la défunte recourante, soit 204'000 francs. b) Le même raisonnement peut être appliqué à la dette hypothécaire de 26'190 fr., dont 10'746 fr. (26'190 x 40%) peuvent être portés à la charge de feu B.B.________, le solde de 15'174 fr. entrant dans la succession. 10. Quant aux frais d’entretien de l’immeuble et aux intérêts hypothécaires, ceux-ci sont supportés par l’usufruitier conformément à l’art. 765 al. 1 CC cité ci-avant sous consid. 8d. Dès lors, les intérêts</w:t>
      </w:r>
    </w:p>
    <w:p>
      <w:r>
        <w:t>- 18 - hypothécaires à hauteur de 938 fr. et la déduction forfaitaire de 1'680 fr. selon l’art. 16a OPC-AVS/AI peuvent être comptabilisés au titre des dépenses reconnues de feu B.B.________, indépendamment du fait qu’elle n’habitait plus l’immeuble de [...] depuis le 1er août 2015. 11. a) S’agissant des produits de l’immeuble concerné, on peut observer que l’intimée a suivi l’appréciation de l’Administration fiscale cantonale, laquelle a supprimé la valeur locative du logement anciennement occupé par la défunte dès août 2015, compte tenu de l’impossibilité de le mettre en location. L’intimée s’est ainsi conformée aux exigences de l’art. 12 OPC-AVS/AI en retenant les éléments communiqués par le fisc. b) On peut ajouter qu’elle s’est au surplus fiée aux informations émanant des recourants eu égard aux loyers encaissés auprès de D.B.________, ceux-ci ayant été rectifiés à 700 fr. par mois à l’issue de la décision sur opposition querellée. Il n’y a donc pas lieu de revenir sur cette question en dépit de la teneur des chiffres 3482.14 et 3433.03 DPC. 12. Le plan de calcul valable dès le 1er septembre 2015 peut en définitive être détaillé comme suit :</w:t>
      </w:r>
    </w:p>
    <w:p>
      <w:r>
        <w:t>- 19 - Fortune Compte bancaire 5'251.- Bien immobilier 204'000.- 209'251.- Dette hypothécaire - 10'746.- Déduction légale - 37'500.- (art. 11 al. 1 let. c LPC) Total de la fortune nette 161'275.- Revenus déterminants Imputation de 1/5 32'255.- de la fortune nette Intérêts des comptes 3.- bancaires Revenus des locations 8'400.- Rentes AVS 28'200.- Rentes LPP 4'236.- 73'094.- Total des revenus déterminants 73'094.- Dépenses reconnues Taxe journalière du home 63'455.- Dépenses personnelles 3'300.- Intérêts hypothécaires 938.- Frais d’entretien d’immeuble 1'680.- 69'373.- Total des dépenses reconnues 69'373.- Il s’ensuit que l’excédent de revenus par rapport aux dépenses reconnues exclut le droit à des prestations complémentaires, de sorte que la décision sur opposition du 3 mars 2016 peut être confirmée sur le principe. Les chiffres ci-dessus demeurent par ailleurs valables pour l’année 2016, à l’exception de la taxe journalière du home, majorée à 63'519 fr. selon les données versées au dossier de l’intimée. 13. a) Il résulte de ce qui précède que le recours, mal fondé, doit être rejeté.</w:t>
      </w:r>
    </w:p>
    <w:p>
      <w:r>
        <w:t>- 20 - b) Il n'y a pas lieu de percevoir de frais judiciaires, la procédure étant gratuite (art. 61 let. a LPGA), ni d'allouer de dépens, vu l'issue du litige (art. 61 let. g LPGA ;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