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ZC15.040974 vom 28. August 2017</w:t>
      </w:r>
    </w:p>
    <w:p>
      <w:r>
        <w:t>VD Tribunal cantonal, 2017-08-28, FR</w:t>
      </w:r>
    </w:p>
    <w:p>
      <w:r>
        <w:rPr>
          <w:b/>
        </w:rPr>
        <w:t xml:space="preserve">Quelle: </w:t>
      </w:r>
      <w:r>
        <w:t>https://mcp.opencaselaw.ch/entscheid/vd_gerichte_ZC15.040974</w:t>
      </w:r>
    </w:p>
    <w:p>
      <w:r>
        <w:t>FR: VD_GERICHTE ZC15.040974 du 28 août 2017</w:t>
      </w:r>
    </w:p>
    <w:p>
      <w:r>
        <w:t>IT: VD_GERICHTE ZC15.040974 del 28 agosto 2017</w:t>
      </w:r>
    </w:p>
    <w:p>
      <w:pPr>
        <w:pStyle w:val="Heading2"/>
      </w:pPr>
      <w:r>
        <w:t>Erwägungen</w:t>
      </w:r>
    </w:p>
    <w:p>
      <w:r>
        <w:rPr>
          <w:b/>
        </w:rPr>
        <w:t>E. 12</w:t>
      </w:r>
    </w:p>
    <w:p>
      <w:r>
        <w:t>mars 2012 et qu’elle avait repris l’exploitation dès le 1er avril 2012. Par décompte du 19 mars 2013 adressé à E.________, la Caisse a sollicité le paiement d’un montant de 4'505 fr. 55 au titre de « contrôle employeur 2009 » en ces termes : Par courrier du 8 avril 2013 intitulé « vos cotisations AVS », la Caisse a prié E.________ de lui verser un solde en sa faveur de 4'532 fr. 55 comptabilisé de la manière suivante : Par décision du 13 février 2015 annulant et remplaçant celle du 29 février 2012 relative aux intérêts moratoires sur cotisations arriérées, la Caisse a fixé à 416 fr. 75 le montant des arriérés pour la période allant du 1er janvier 2010 au 29 février 2012 sur un montant de 3'852 fr. 05.</w:t>
      </w:r>
    </w:p>
    <w:p>
      <w:r>
        <w:t>- 5 - Par décompte du 13 février 2015 adressé à E.________, la Caisse a sollicité le paiement d’un montant de 5'188 fr. 60 au titre de « contrôle employeur 2009 » en ces termes : Finalement, dans un décompte détaillé des prétentions en réparation du dommage établi le 17 février 2015, la Caisse a retenu un montant de 3'525 fr. 45 au titre de l’année 2009 auquel s’ajoutaient les intérêts moratoires par 416 fr. 75 pour la période allant du 1er janvier 2010 au 29 février 2012 et par 544 fr. 15 pour la période postérieure, ainsi que 735 fr. 20 de frais de poursuite, soit un total de 5'221 fr. 55. Par décision du 17 février 2015, la Caisse a réclamé à G.________ la réparation du dommage d’un montant de 5'221 fr. 55. Elle a rappelé qu’E.________, fondée en juin 2002, avait été affiliée en qualité d’employeur soumis à cotisations paritaires, ceci du 1er juin 2008 au 31 mars 2012, date de changement de sa raison sociale. Les factures avaient régulièrement été acquittées et le décompte final 2009 s’étant avéré inférieur aux prévisions, la société avait pu profiter cette année-là d’un crédit. Cependant, la masse salariale déclarée pour 2009 était bien trop basse par rapport à la réalité, ce qu’un contrôle d’employeur effectué le</w:t>
      </w:r>
    </w:p>
    <w:p>
      <w:r>
        <w:rPr>
          <w:b/>
        </w:rPr>
        <w:t>E. 17</w:t>
      </w:r>
    </w:p>
    <w:p>
      <w:r>
        <w:t>février 2015. 8. Au vu de ce qui précède, la demande en réparation du dommage de l’intimée à l’encontre du recourant, sur la base de l’art. 52 LAVS, se révèle bien fondée.</w:t>
      </w:r>
    </w:p>
    <w:p>
      <w:r>
        <w:t>- 18 - En vertu du droit fédéral, la procédure est gratuite (cf. art. 61 let. a LPGA). Il n'y a pas lieu de percevoir de frais de justice, la procédure étant gratuite (art. 61 let. a LPGA), ni d'allouer de dépens, le recourant n'obtenant pas gain de cause (art. 61 let. g LPGA ; 55 al. 1 LPA-VD).</w:t>
      </w:r>
    </w:p>
    <w:p>
      <w:r>
        <w:t>- 19 - Par ces motifs, la juge unique p r o n o n c e : I. Le recours est rejeté. II. La décision sur opposition rendue le 3 septembre 2015 par la [...] est confirmée. III. Il n'est pas perçu de frais judiciaires, ni alloué de dépens. La juge unique : La greffière : Du L'arrêt qui précède est notifié à : - G.________, - [...], - 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