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VD_GERICHTE ZC15.034108 vom 28. April 2016</w:t>
      </w:r>
    </w:p>
    <w:p>
      <w:r>
        <w:t>VD Tribunal cantonal, 2016-04-28, FR</w:t>
      </w:r>
    </w:p>
    <w:p>
      <w:r>
        <w:rPr>
          <w:b/>
        </w:rPr>
        <w:t xml:space="preserve">Quelle: </w:t>
      </w:r>
      <w:r>
        <w:t>https://mcp.opencaselaw.ch/entscheid/vd_gerichte_ZC15.034108</w:t>
      </w:r>
    </w:p>
    <w:p>
      <w:r>
        <w:t>FR: VD_GERICHTE ZC15.034108 du 28 avril 2016</w:t>
      </w:r>
    </w:p>
    <w:p>
      <w:r>
        <w:t>IT: VD_GERICHTE ZC15.034108 del 28 aprile 2016</w:t>
      </w:r>
    </w:p>
    <w:p>
      <w:pPr>
        <w:pStyle w:val="Heading2"/>
      </w:pPr>
      <w:r>
        <w:t>Erwägungen</w:t>
      </w:r>
    </w:p>
    <w:p>
      <w:r>
        <w:rPr>
          <w:b/>
        </w:rPr>
        <w:t>E. 5</w:t>
      </w:r>
    </w:p>
    <w:p>
      <w:r>
        <w:t>a) Il découle de ce qui précède que le recours doit être admis et la décision attaquée annulée, la cause étant renvoyée à l’intimée pour complément d’instruction et nouvelle décision au sens des considérants. b) Le présent arrêt est rendu sans frais (cf. art. 61 let. a LPGA). Le recourant, qui obtient gain de cause sans l’assistance d’un mandataire professionnel, n’a pas droit à des dépens (cf. art. 61 let. g LPGA et 55 al. 1 LPA-VD par renvoi de l’art. 99 al. 1 LPA-VD).</w:t>
      </w:r>
    </w:p>
    <w:p>
      <w:r>
        <w:t>- 12 -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