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ZC15.019653 vom 9. Januar 2017</w:t>
      </w:r>
    </w:p>
    <w:p>
      <w:r>
        <w:t>VD Tribunal cantonal, 2017-01-09, FR</w:t>
      </w:r>
    </w:p>
    <w:p>
      <w:r>
        <w:rPr>
          <w:b/>
        </w:rPr>
        <w:t xml:space="preserve">Quelle: </w:t>
      </w:r>
      <w:r>
        <w:t>https://mcp.opencaselaw.ch/entscheid/vd_gerichte_ZC15.019653</w:t>
      </w:r>
    </w:p>
    <w:p>
      <w:r>
        <w:t>FR: VD_GERICHTE ZC15.019653 du 9 janvier 2017</w:t>
      </w:r>
    </w:p>
    <w:p>
      <w:r>
        <w:t>IT: VD_GERICHTE ZC15.019653 del 9 gennaio 2017</w:t>
      </w:r>
    </w:p>
    <w:p>
      <w:pPr>
        <w:pStyle w:val="Heading2"/>
      </w:pPr>
      <w:r>
        <w:t>Erwägungen</w:t>
      </w:r>
    </w:p>
    <w:p>
      <w:r>
        <w:rPr>
          <w:b/>
        </w:rPr>
        <w:t>E. 31</w:t>
      </w:r>
    </w:p>
    <w:p>
      <w:r>
        <w:t>décembre 2009 et ont consenti à postposer leur créance, afin de permettre à S.________, alors surendettée, de poursuivre son activité dans l’optique d’un assainissement. Elle ajoute qu’en outre, sur conseil de la fiduciaire, les autres administrateurs et elle-même ont versé une somme de 25'000 fr. à G.________, agent d’affaires breveté, afin d’acquitter les cotisations sociales impayées dues à l’intimée. Cette somme a toutefois été détournée par G.________ lequel a été reconnu coupable d’abus de confiance, d’abus de confiance qualifiée et de diminution effective de l’actif au préjudice des créanciers. Par la suite, un acte de défaut de biens à l’encontre de G.________ de 27'095 fr. 15 réduit ensuite à 23'716 fr. 75 a été délivré à S.________. Elle rappelle enfin la procédure engagée auprès de la Chambre patrimoniale cantonale. Au vu des éléments précités, la recourante pensait pouvoir maintenir la société en vie, cas échéant acquitter l’arriéré de cotisations sociales. Elle dépose enfin un lot de pièces sous bordereau. Dans sa réponse du 20 août 2015, l’intimée conclut au rejet du recours et confirme sa décision sur opposition. Elle rappelle notamment que les problèmes financiers remontent au minimum à 1993 avec nonante-neuf poursuites engagées entre juin 1993 et septembre 2004. La régularité avec laquelle ces procédures de poursuite ont été menées entre avril 1998 et septembre 2004 démontrent que bien avant la saga de l’attribution des concessions pour des TV régionales par le Conseil fédéral, S.________ était une société fragile. L’intimée relève en outre que C.________ n’a pas mis en garde les époux [...] sur les conséquences d’une</w:t>
      </w:r>
    </w:p>
    <w:p>
      <w:r>
        <w:t>- 7 - dette envers le 1er pilier. Il ne lui a en outre pas proposé un examen de la faisabilité d’un plan de paiement. Elle dépose un lot de pièces sous bordereau (pièces 101 à 111). Par courrier du 19 janvier 2016, la juge instructeur a sollicité de l’intimée la production du dossier complet de la cause, plusieurs documents cités dans la décision sur opposition n’ayant pas été transmis. Le 16 février 2016, l’intimée transmet un bordereau de pièces complémentaires (pièces 112 à 220). Dans ses déterminations du 31 août 2016, la recourante précise notamment que dans la mesure où la faillite de la société S.________ a été prononcée le 25 septembre 2012 avec effet le même jour, les arriérés de cotisations pour les années 2004 et 2007 comprises sont prescrits. Elle dépose un lot de pièces sous bordereau (pièces 7 à 14). Dans son écriture du 26 septembre 2016, l’intimée confirme les conclusions de sa réponse du 20 août 2015. La recourante n’a pas procédé plus avant. E n d r o i t : 1.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w:t>
      </w:r>
    </w:p>
    <w:p>
      <w:r>
        <w:t>- 8 - procédure administrative ; RSV 173.36] ; cf. aussi art. 52 al. 5 LAVS, qui conduit au même résultat). Déposé dans les trente jours suivant la notification de la décision attaquée (art. 60 al. 1 LPGA) et satisfaisant pour le surplus aux autres conditions de forme prévues par la loi (art. 61 let. b LPGA), le recours est recevable, de sorte qu'il convient d'entrer en matière. 2. Le litige porte sur le droit de la Caisse intimée au paiement d'un montant de 53'460 fr. 25 par la recourante, à titre de réparation du dommage subi ensuite du non-paiement de cotisations sociales par la société S.________. La valeur litigieuse étant supérieure à 30'000 fr., la cause doit être tranchée par la cour composée de trois magistrats (art. 83c al. 1 LOJV [loi cantonale vaudoise d'organisation judiciaire du 12 décembre 1979; RSV 173.01]; art. 94 al. 1 let. a LPA-VD a contrario). 3. 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w:t>
      </w:r>
    </w:p>
    <w:p>
      <w:r>
        <w:t>- 9 -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la recourante ne conteste pas le montant des prétentions formulées par l'intimée, à savoir notamment les cotisations sociales dues par S.________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Elle fait toutefois valoir que, dans le contexte du cas d'espèce, il ne peut lui être reproché personnellement d'avoir agi par négligence grave et que les cotisations sociales réclamées par l’intimée pour 2004 et 2007 sont prescrites. 4.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w:t>
      </w:r>
    </w:p>
    <w:p>
      <w:r>
        <w:t>- 10 - b) Aux termes de l’art. 52 al. 1 LAVS, l’employeur qui, intentionnellement ou par négligence grave, n’observe pas des prescriptions et cause ainsi un dommage à l’assurance, est tenu à réparation. L’art. 52 al. 2 LAVS, dans sa teneur depuis le 1er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1er janvier 2012, alors que les arriérés de cotisations réclamés à la recourante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w:t>
      </w:r>
    </w:p>
    <w:p>
      <w:r>
        <w:t>- 11 - désignées formellement en qualité d'organes, prennent en fait les décisions réservées à ces derniers ou se chargent de la gestion proprement dite, soit les « organes de fait » (ATF 126 V 237 consid. 4 et réf. cit.;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w:t>
      </w:r>
    </w:p>
    <w:p>
      <w:r>
        <w:t>- 12 - Obligationenrecht II, Art. 530-1186 OR, 3e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w:t>
      </w:r>
    </w:p>
    <w:p>
      <w:r>
        <w:t>- 13 - doit d’abord agir contre le débiteur des cotisations, à savoir l’employeur. Ce n’est que lorsque celui-ci, en l'occurrence la société S.________,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S.________,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w:t>
      </w:r>
    </w:p>
    <w:p>
      <w:r>
        <w:t>- 14 -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w:t>
      </w:r>
    </w:p>
    <w:p>
      <w:r>
        <w:t>- 15 -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w:t>
      </w:r>
    </w:p>
    <w:p>
      <w:r>
        <w:t>- 16 -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 5. 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w:t>
      </w:r>
    </w:p>
    <w:p>
      <w:r>
        <w:t>- 17 -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w:t>
      </w:r>
    </w:p>
    <w:p>
      <w:r>
        <w:t>- 18 - collocation. La décision en réparation du dommage relative aux cotisations dues pour les années 2004, 2007 à 2011 (frais administratifs, de sommations, de poursuite et intérêts moratoires inclus) a donc été rendue en temps utile. 6. 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 a) En l’occurrence, il ressort du dossier que la recourante a été un organe de la société S.________ dès 2003. Ainsi, du [...], elle était administratrice avec signature collective à deux, puis dès la date précitée administratrice secrétaire. La recourante ne conteste pas sa qualité d’organe de la société faillie. Elle nie toutefois avoir causé le dommage intentionnellement ou par grave négligence. Elle soutient qu'elle avait des raisons sérieuses et objectives de penser que la société pourrait s'acquitter de l'arriéré de cotisations dans un délai raisonnable. aa) On observe que S.________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la recourante et</w:t>
      </w:r>
    </w:p>
    <w:p>
      <w:r>
        <w:t>- 19 - son époux avaient post-posé une créance de 80'000 fr. n’est pas pertinent en l’occurrence, puisque cette opération a été effectuée en 2002, soit bien avant la période litigieuse. Au demeurant, la postposition de créance n'est pas un abandon de créance et n'élimine pas le surendettement ; la créance postposée continue d'exister en tant que passif de la société, et le créancier obtiendra un acte de défaut de biens dans la faillite de la société (TF 4C.58/2007 du 25 mai 2007 consid. 4.3). bb) L’éventuel versement de 25'000 fr. à l’agent d’affaires breveté G.________ n’est d’aucun secours en l’espèce. Il ressort du dossier, plus précisément de la plainte pénale déposée le 15 février 2011 par S.________ que G.________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de la recourante, pièce 13, point 6), laquelle faisait l’objet d’une poursuite ayant donné lieu à la commination de faillite (cf. recours, p. 3). Contrairement aux allégations de la recourante, le montant transféré à G.________ en 2009 ne devait pas prioritairement être affecté au paiement de l’arriéré des cotisations sociales des années 2004, 2007 à 2009. cc) Quant à la procédure entamée par la masse en faillite de S.________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w:t>
      </w:r>
    </w:p>
    <w:p>
      <w:r>
        <w:t>- 20 -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b) Indépendamment de ce qui précède, il ne suffit pas de relater le déroulement chronologique d'événements ou de péripéties pour exclure la faute ou justifier le comportement de l’intéressée.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de la recourante, cette dernière,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devant la Chambre patrimoniale cantonale et d’exprimer leur espoir quant à l’issue de cette procédure. c) Vu les éléments qui précèdent, on ne peut que confirmer, avec l’intimée, que le comportement de la recourante dans la gestion de la société concernée est constitutif de négligence grave au sens de l’art. 52 LAVS et qu’elle ne saurait être mise au bénéfice de circonstances exceptionnelles lui permettant de se dégager de sa responsabilité</w:t>
      </w:r>
    </w:p>
    <w:p>
      <w:r>
        <w:t>- 21 - 7. Il convient encore de se prononcer sur le montant de la créance en réparation de dommage dont le paiement a été réclamé auprès de la recourante.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la recourante a été administratrice secrétaire de la société. On peut se référer sur ce point au décompte de l'intimée dans sa décision du 30 avril 2013. Il s'ensuit que l’intimée a admis à juste titre le lien de causalité entre le comportement fautif de la recourante et le dommage mis à la charge de celle-ci. 8. En définitive, les conclusions de B.________ sont entièrement mal fondées et c’est à juste titre que la Caisse a exigé la réparation d’un dommage à hauteur de 53'460 fr. 25. Il s'ensuit que le recours doit être rejeté et la décision entreprise confirmée. En vertu du droit fédéral, la procédure est gratuite (art. 61 let. a LPGA). Il n’y a pas lieu d’allouer des dépens à B.________ qui succombe (art. 55 al. 1 LPA-VD et 61 let. g LPGA), ni à la Caisse intimée, qui n’y a pas droit comme assureur social (ATF 128 V 323).</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