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ZC15.019650 vom 9. Januar 2017</w:t>
      </w:r>
    </w:p>
    <w:p>
      <w:r>
        <w:t>VD Tribunal cantonal, 2017-01-09, FR</w:t>
      </w:r>
    </w:p>
    <w:p>
      <w:r>
        <w:rPr>
          <w:b/>
        </w:rPr>
        <w:t xml:space="preserve">Quelle: </w:t>
      </w:r>
      <w:r>
        <w:t>https://mcp.opencaselaw.ch/entscheid/vd_gerichte_ZC15.019650</w:t>
      </w:r>
    </w:p>
    <w:p>
      <w:r>
        <w:t>FR: VD_GERICHTE ZC15.019650 du 9 janvier 2017</w:t>
      </w:r>
    </w:p>
    <w:p>
      <w:r>
        <w:t>IT: VD_GERICHTE ZC15.019650 del 9 gennaio 2017</w:t>
      </w:r>
    </w:p>
    <w:p>
      <w:pPr>
        <w:pStyle w:val="Heading2"/>
      </w:pPr>
      <w:r>
        <w:t>Erwägungen</w:t>
      </w:r>
    </w:p>
    <w:p>
      <w:r>
        <w:rPr>
          <w:b/>
        </w:rPr>
        <w:t>E. 1</w:t>
      </w:r>
    </w:p>
    <w:p>
      <w:r>
        <w:t>Les dispositions de la loi fédérale du 6 octobre 2000 sur la partie générale du droit des assurances sociales (LPGA ;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w:t>
      </w:r>
    </w:p>
    <w:p>
      <w:r>
        <w:t>- 8 - procédure administrative ; RSV 173.36] ; cf. aussi art. 52 al. 5 LAVS, qui conduit au même résultat). Déposé dans les trente jours suivant la notification de la décision attaquée (art. 60 al. 1 LPGA) et satisfaisant pour le surplus aux autres conditions de forme prévues par la loi (art. 61 let. b LPGA), le recours est recevable, de sorte qu'il convient d'entrer en matière.</w:t>
      </w:r>
    </w:p>
    <w:p>
      <w:r>
        <w:rPr>
          <w:b/>
        </w:rPr>
        <w:t>E. 2</w:t>
      </w:r>
    </w:p>
    <w:p>
      <w:r>
        <w:t>Le litige porte sur le droit de la Caisse intimée au paiement d'un montant de 53'460 fr. 25 par le recourant, à titre de réparation du dommage subi ensuite du non-paiement de cotisations sociales par la société (…) SA. La valeur litigieuse étant supérieure à 30'000 fr., la cause doit être tranchée par la cour composée de trois magistrats (art. 83c al. 1 LOJV [loi cantonale vaudoise d'organisation judiciaire du 12 décembre 1979; RSV 173.01];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w:t>
      </w:r>
    </w:p>
    <w:p>
      <w:r>
        <w:t>- 9 -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 SA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Il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w:t>
      </w:r>
    </w:p>
    <w:p>
      <w:r>
        <w:t>- 10 - b) Aux termes de l’art. 52 al. 1 LAVS, l’employeur qui, intentionnellement ou par négligence grave, n’observe pas des prescriptions et cause ainsi un dommage à l’assurance, est tenu à réparation. L’art. 52 al. 2 LAVS, dans sa teneur depuis le 1er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1er janvier 2012, alors que les arriérés de cotisations réclamés au recourant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w:t>
      </w:r>
    </w:p>
    <w:p>
      <w:r>
        <w:t>- 11 - désignées formellement en qualité d'organes, prennent en fait les décisions réservées à ces derniers ou se chargent de la gestion proprement dite, soit les « organes de fait » (ATF 126 V 237 consid. 4 et réf. cit.;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w:t>
      </w:r>
    </w:p>
    <w:p>
      <w:r>
        <w:t>- 12 - Obligationenrecht II, Art. 530-1186 OR, 3e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w:t>
      </w:r>
    </w:p>
    <w:p>
      <w:r>
        <w:t>- 13 - doit d’abord agir contre le débiteur des cotisations, à savoir l’employeur. Ce n’est que lorsque celui-ci, en l'occurrence la société (…)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 SA,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w:t>
      </w:r>
    </w:p>
    <w:p>
      <w:r>
        <w:t>- 14 -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w:t>
      </w:r>
    </w:p>
    <w:p>
      <w:r>
        <w:t>- 15 -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w:t>
      </w:r>
    </w:p>
    <w:p>
      <w:r>
        <w:t>- 16 -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4.2</w:t>
      </w:r>
    </w:p>
    <w:p>
      <w:r>
        <w:t>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w:t>
      </w:r>
    </w:p>
    <w:p>
      <w:r>
        <w:t>- 17 -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w:t>
      </w:r>
    </w:p>
    <w:p>
      <w:r>
        <w:t>- 18 - collocation. La décision en réparation du dommage relative aux cotisations dues pour les années 2004, 2007 à 2011 (frais administratifs, de sommations, de poursuite et intérêts moratoires inclus) a donc été rendue en temps utile.</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w:t>
      </w:r>
    </w:p>
    <w:p>
      <w:r>
        <w:rPr>
          <w:b/>
        </w:rPr>
        <w:t>E. 6</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En l’occurrence, il ressort du dossier que le recourant a été un organe de la société J.________ dès 1996. Ainsi, du 12 septembre 1996 au 7 mars 2003, il était administrateur délégué directeur avec signature individuelle, puis du 30 novembre 2004 au 13 mars 2006, administrateur président avec signature collective à deux et enfin, dès le 13 mars 2006, il est devenu administrateur avec signature collective à deux. Certes, il ressort de l’extrait du registre du commerce (pièce 111 de l’intimée) que le recourant a quitté la société le [...] pour n’y revenir que le [...] comme administrateur président avec signature collective à deux, si bien que l’on pourrait conclure à son absence de responsabilité pour le non-paiement des cotisations sociales du 1er janvier au 29 novembre 2004. Compte tenu du fait que le recourant ne conteste pas sa qualité d’organe de la société faillie durant la période litigieuse, la Cour de céans considère qu’il n’y a pas lieu d’examiner plus avant si le recourant agissait réellement en tant qu'organe de fait de J.________ du 1er janvier au 29 novembre 2004, c’est- à-dire s’il a eu la possibilité de causer un dommage ou de l'empêcher, en d'autres termes s’il exerçait effectivement une influence sur la marche des affaires de la société. A cet égard, on relèvera tout au plus que durant la période précitée, l’intéressé a notamment fait personnellement opposition totale aux commandements de payer qui ont été notifiés à la société les 19 septembre 2003, 28 novembre 2003, 20 février 2004, 26 mars 2004, 3 mai 2004, 17 mai 2004, 3 août 2004, 23 août 2004, 19 octobre 2004 et 22</w:t>
      </w:r>
    </w:p>
    <w:p>
      <w:r>
        <w:t>- 19 - novembre 2004, précisant sur les documents en question qu’il agissait en qualité de directeur ou responsable de la société. b) Le recourant nie toutefois avoir causé le dommage intentionnellement ou par grave négligence. Il soutient qu'il avait des raisons sérieuses et objectives de penser que la société pourrait s'acquitter de l'arriéré de cotisations dans un délai raisonnable. aa) On observe que (…) SA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le recourant et son épouse avaient post-posé une créance de 80'000 fr. n’est pas pertinent en l’occurrence, puisque cette opération a été effectuée en 2002, soit bien avant la période litigieuse. Au demeurant, la postposition de créance n'est pas un abandon de créance et n'élimine pas le surendettement ; la créance postposée continue d'exister en tant que passif de la société, et le créancier obtiendra un acte de défaut de biens dans la faillite de la société (TF 4C.58/2007 du 25 mai 2007 consid. 4.3). bb) L’éventuel versement de 25'000 fr. à l’agent d’affaires breveté W n’est d’aucun secours en l’espèce. Il ressort du dossier, plus précisément de la plainte pénale déposée le 15 février 2011 par (…) SA que W avait été mandaté pour assister la société dans le cadre de la procédure d’ajournement de faillite selon l’art. 725a CO. Pour ce faire, un</w:t>
      </w:r>
    </w:p>
    <w:p>
      <w:r>
        <w:t>- 20 - montant de 25'000 fr. lui avait été versé sous forme de trois acomptes en 2009, qui devait couvrir en priorité des créances privilégiées, en particulier une créance de la Fondation LPP [...] (cf. bordereau II du recourant, pièce 13, point 6), laquelle faisait l’objet d’une poursuite ayant donné lieu à la commination de faillite (cf. recours, p. 3). Contrairement aux allégations du recourant, le montant transféré à W en 2009 ne devait pas prioritairement être affecté au paiement de l’arriéré des cotisations sociales des années 2004, 2007 à 2009. cc) Quant à la procédure entamée par la masse en faillite de (…) SA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c) Indépendamment de ce qui précède, il ne suffit pas de relater le déroulement chronologique d'événements ou de péripéties pour exclure la faute ou justifier le comportement de l’intéressé.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w:t>
      </w:r>
    </w:p>
    <w:p>
      <w:r>
        <w:t>- 21 -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du recourant, ce dernier,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devant la Chambre patrimoniale cantonale et d’exprimer leur espoir quant à l’issue de cette procédure. d) Vu les éléments qui précèdent, on ne peut que confirmer, avec l’intimée, que le comportement du recourant dans la gestion de la société concernée est constitutif de négligence grave au sens de l’art. 52 LAVS et qu’il ne saurait être mis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du recourant.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w:t>
      </w:r>
    </w:p>
    <w:p>
      <w:r>
        <w:t>- 22 -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le recourant a été administratrice secrétaire de la société. On peut se référer sur ce point au décompte de l'intimée dans sa décision du 30 avril 2013. Il s'ensuit que l’intimée a admis à juste titre le lien de causalité entre le comportement fautif du recourant et le dommage mis à la charge de celui-ci.</w:t>
      </w:r>
    </w:p>
    <w:p>
      <w:r>
        <w:rPr>
          <w:b/>
        </w:rPr>
        <w:t>E. 8</w:t>
      </w:r>
    </w:p>
    <w:p>
      <w:r>
        <w:t>En définitive, les conclusions de K sont entièrement mal fondées et c’est à juste titre que la Caisse a exigé la réparation d’un dommage à hauteur de 53'460 fr. 25. Il s'ensuit que le recours doit être rejeté et la décision entreprise confirmée. En vertu du droit fédéral, la procédure est gratuite (art. 61 let. a LPGA). Il n’y a pas lieu d’allouer des dépens à K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