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ZC14.024366 vom 23. Oktober 2015</w:t>
      </w:r>
    </w:p>
    <w:p>
      <w:r>
        <w:t>VD Tribunal cantonal, 2015-10-23, FR</w:t>
      </w:r>
    </w:p>
    <w:p>
      <w:r>
        <w:rPr>
          <w:b/>
        </w:rPr>
        <w:t xml:space="preserve">Quelle: </w:t>
      </w:r>
      <w:r>
        <w:t>https://mcp.opencaselaw.ch/entscheid/vd_gerichte_ZC14.024366</w:t>
      </w:r>
    </w:p>
    <w:p>
      <w:r>
        <w:t>FR: VD_GERICHTE ZC14.024366 du 23 octobre 2015</w:t>
      </w:r>
    </w:p>
    <w:p>
      <w:r>
        <w:t>IT: VD_GERICHTE ZC14.024366 del 23 ottobre 2015</w:t>
      </w:r>
    </w:p>
    <w:p>
      <w:pPr>
        <w:pStyle w:val="Heading2"/>
      </w:pPr>
      <w:r>
        <w:t>Erwägungen</w:t>
      </w:r>
    </w:p>
    <w:p>
      <w:r>
        <w:rPr>
          <w:b/>
        </w:rPr>
        <w:t>E. 30</w:t>
      </w:r>
    </w:p>
    <w:p>
      <w:r>
        <w:t>juin 2010. 7.5 Compte tenu de ce qui précède, la décision sur opposition litigieuse peut donc être maintenue sur le principe de la réparation du dommage par B.________, tandis qu’il convient à ce stade d’examiner si le montant réclamé au recourant est correct. 8. Le dommage, équivalant au capital dont la caisse de compensation se trouve frustrée (ATF 108 V 189 consid. 2c), comprend les cotisations paritaires dues en vertu des lois citées plus haut sous considérant 4.1 ; en font également partie les contributions aux frais d'administration des caisses de compensation que l'employeur doit selon l'art. 69 al. 1 LAVS, ainsi que les frais de sommation selon l'art. 34a RAVS et les frais de poursuite (ATF 134 I 179 ; 121 III 382 consid. 3bb ; 113 V 186). Quant aux intérêts moratoires, ils n'ont aucun rapport avec la créance de la caisse en réparation du dommage (ATF 119 V 78 et art. 41bis RAVS) ; ils sont simplement dus en raison du retard dans le paiement des cotisations, si bien qu'ils font aussi partie du dommage (ATF 121 III 382). In casu, on pourrait s’interroger, au regard du montant total du dommage subi par la Caisse à concurrence de 33'050 fr. 25 selon le décompte détaillé annexé à la décision initiale du 8 février 2013, si des</w:t>
      </w:r>
    </w:p>
    <w:p>
      <w:r>
        <w:t>- 23 - frais de sommation, de poursuite et des intérêts moratoires auraient pu être portés à la charge du recourant en sus de la somme réclamée. Cela étant, cette question peut souffrir de demeurer indécise, dans la mesure où les périodes concernées par les montants corrélatifs n’ont pas été précisées par la Caisse. Il en va de même s’agissant d’éventuels montants de cotisations, en sus de frais et d’intérêts, qui concerneraient la période limitée de janvier à juin 2010, étant donné que l’intimée ne les a de toute façon pas imputés au recourant. En conséquence, on se limitera à confirmer le montant de 6'267 fr. 60 réclamé à B.________ au terme de la décision sur opposition du 11 septembre 2014, après déduction des sommes perçues par le biais des indemnités d’insolvabilité servies par les organes de l’assurance-chômage relativement à l’année 2009. 9. Il résulte de l’exposé ci-dessus que le recours doit être rejeté, tandis que la décision sur opposition rendue le 11 septembre 2014, annulant et remplaçant celle du 14 mai 2014, s’avère bien fondée. 9.1 Le présent arrêt est rendu sans frais, vu la gratuité de la procédure (cf. art. 61 let. a LPGA et 45 LPA-VD). 9.2 Il n’y a pas lieu d’allouer des dépens, ni au recourant qui succombe, ni à la caisse intimée, qui n’y a pas droit en sa qualité d’assureur social (cf. art. 61 let. g LPGA et 55 al. 1 LPA-VD ; ATF 128 V 323 ; 127 V 205 ; 126 V 143). 9.3 Le recourant bénéficie, au titre de l'assistance judiciaire, de la commission d'office d'un avocat en la personne de Me Alain Vuithier à compter du 16 juin 2014 jusqu'au terme de la présente procédure (cf. art. 118 al. 1 let. c CPC, applicable par renvoi de l'art. 18 al. 5 LPA-VD).</w:t>
      </w:r>
    </w:p>
    <w:p>
      <w:r>
        <w:t>- 24 - Me Vuithier a produit le relevé des opérations effectuées pour le compte de son mandant par correspondance du 25 août 2015. Son activité a été contrôlée au regard de la conduite du procès, l’avocat précité ayant fait état de 7 heures et 42 minutes déployées dans le cadre du recours interjeté le 16 juin 2014. Les opérations comptabilisées entrant dans le champ temporel et matériel du mandat, l’activité de Me Vuithier peut effectivement être arrêtée à 7 heures et 42 minutes au tarif horaire de 180 fr. (art. 2 al. 1 let. a RAJ [règlement cantonal vaudois du 7 décembre 2010 sur l'assistance judiciaire civile ; RSV 211.02.3]), à quoi s'ajoutent les débours par 58 fr. et la TVA au taux de 8%, ce qui représente un montant total de 1’559 fr. 50 pour l'ensemble de l'activité assumée dans la présente cause. Cette rémunération est provisoirement supportée par le canton, ce dernier demeurant subrogé à concurrence de ce montant (cf. art. 122 al. 2 in fine CPC, également applicable par renvoi). Le recourant est rendu attentif au fait qu'il est tenu de rembourser la somme de 1’559 fr. 50 dès qu'il sera en mesure de le faire en vertu de l’art. 123 al. 1 CPC. Il incombera au Service juridique et législatif de fixer les modalités de remboursement (cf. art. 5 RAJ), la subrogation étant réservée.</w:t>
      </w:r>
    </w:p>
    <w:p>
      <w:r>
        <w:t>- 25 - Par ces motifs, le juge unique p r o n o n c e : I. Le recours est rejeté. II. La décision sur opposition, rendue le 11 septembre 2014 par la Caisse cantonale vaudoise de compensation, est confirmée. III. Il n’est pas perçu de frais judiciaires. IV. Il n’est pas alloué de dépens. V. L'indemnité d'office de Me Vuithier, conseil du recourant, est arrêtée à 1'559 fr. 50 (mille cinq cent cinquante-neuf francs et cinquante centimes), débours et TVA compris. VI. Le bénéficiaire de l'assistance judiciaire est, dans la mesure de l'art. 123 CPC applicable par renvoi de l'art. 18 al. 5 LPA-VD, tenu au remboursement de l'indemnité du conseil d'office mis à la charge de l'État. Le juge unique : La greffière : Du L'arrêt qui précède est notifié, par l'envoi de photocopies, à : - Me Alain Vuithier, à Lausanne (pour B.________), - Caisse cantonale vaudoise de compensation, à Clarens, - Office fédéral des assurances sociales, à Berne.</w:t>
      </w:r>
    </w:p>
    <w:p>
      <w:r>
        <w:t>- 26 -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