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ZC14.009778 vom 1. Dezember 2016</w:t>
      </w:r>
    </w:p>
    <w:p>
      <w:r>
        <w:t>VD Tribunal cantonal, 2016-12-01, FR</w:t>
      </w:r>
    </w:p>
    <w:p>
      <w:r>
        <w:rPr>
          <w:b/>
        </w:rPr>
        <w:t xml:space="preserve">Quelle: </w:t>
      </w:r>
      <w:r>
        <w:t>https://mcp.opencaselaw.ch/entscheid/vd_gerichte_ZC14.009778</w:t>
      </w:r>
    </w:p>
    <w:p>
      <w:r>
        <w:t>FR: VD_GERICHTE ZC14.009778 du 1 décembre 2016</w:t>
      </w:r>
    </w:p>
    <w:p>
      <w:r>
        <w:t>IT: VD_GERICHTE ZC14.009778 del 1 dicembre 2016</w:t>
      </w:r>
    </w:p>
    <w:p>
      <w:pPr>
        <w:pStyle w:val="Heading2"/>
      </w:pPr>
      <w:r>
        <w:t>Erwägungen</w:t>
      </w:r>
    </w:p>
    <w:p>
      <w:r>
        <w:rPr>
          <w:b/>
        </w:rPr>
        <w:t>E. 2</w:t>
      </w:r>
    </w:p>
    <w:p>
      <w:r>
        <w:t>a) En procédure juridictionnelle administrative, ne peuvent être examinés et jugés, en principe, que les rapports juridiques à propos desquels l'autorité administrative compétente s'est prononcée</w:t>
      </w:r>
    </w:p>
    <w:p>
      <w:r>
        <w:t>- 9 - préalablement d'une manière qui la lie sous la forme d'une décision, laquelle détermine l'objet de la contestation (cf. ATF 134 V 418 consid. 5.2.1 et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l’objet de la présente contestation est circonscrit par la décision sur opposition rendue le 20 février 2014 par la CCVD, déniant le droit de W.________ à une rente de vieillesse de l’AVS suisse. On peine en revanche à discerner l’objet du litige. En effet, si au cours de la procédure administrative, le recourant s’est référé aux dispositions légales régissant l’octroi d’une rente AVS en Suisse, en particulier sous l’angle du partage des revenus entre époux (cf. écritures des 23 décembre 2013 et 7 février 2014), il appert en revanche que, dans ses actes adressés à la Cour de céans, l’intéressé a dirigé l’essentiel de ses griefs à l’encontre de la manière dont son dossier avait été traité, sans réellement contester le refus de rente signifié par la Caisse le 20 février 2014 (cf. en particulier réplique du 9 mai 2014 : « J’admettais toujours que je n’ai jamais droit à une pension de la vieillesse suisse comme je n’ai jamais payé AVS en Suisse »). Cela étant, on relèvera, d’une part, qu’il n’appartient pas à la Cour de céans d’intervenir en tant qu’autorité de surveillance appelée à contrôler l’activité d’une caisse de compensation, notamment sous l’angle du traitement des administrés – compétence qui revient, en définitive, au pouvoir exécutif et non à une autorité judiciaire (cf. art. 76 LPGA, 72 LAVS et 176 RAVS [règlement du 31 octobre 1947 sur l’assurance-vieillesse et survivants ; RS 831.101]). D’autre part, s’agissant de la question d’un dédommagement éventuel, celle-ci est étrangère à l’objet de la contestation tel que défini par la décision attaquée. Le Tribunal ne saurait</w:t>
      </w:r>
    </w:p>
    <w:p>
      <w:r>
        <w:t>- 10 - donc entrer en matière quant à l’octroi d’une compensation (cf. écriture du 7 février 2014), notamment pour les frais liés à l’envoi de pièces justificatives (cf. réplique du 9 mai 2014), ou d’une réparation (« redress ») sans caractère pécuniaire (cf. écriture du 25 juin 2014) ; tout au plus relèvera-t-on, à l’instar de l’intimée (cf. duplique du 6 juin 2014 p. 2), que les pièces justificatives fournies par le recourant étaient de toute manière nécessaire au traitement de sa demande de rente étrangère transmise à la Caisse suisse de compensation le 30 janvier 2014. Si par ailleurs le recourant soutient que, bien qu’ayant atteint l’âge de la retraite le [...] décembre 2013, ce n’est toutefois qu’à partir du 10 mars 2014 qu’il a reçu, en Suisse, la rente fixée sur la base de ses contributions au Royaume-Uni (cf. déterminations du 25 juin 2014 p. 1), il n’invoque toutefois aucun grief précis sur ce plan. En tout état de cause, on notera qu’il n’appartient pas à la Cour de céans, saisie d’un pourvoi à l’encontre d’une décision refusant le droit à une rente de l’AVS suisse, de se prononcer au sujet de la rente étrangère perçue par W.________ en Suisse. Concernant ces différents aspects, les prétentions du recourant ne sont donc pas recevables. En outre, à supposer que le recourant soit bel et bien revenu sur sa position pour finalement se ranger à l’avis de l’intimée quant à l’absence de droit à une rente de vieillesse de l’AVS suisse (cf. réplique du 9 mai 2014, notamment), se poserait alors la question de savoir en quoi le présent recours aurait encore un objet. Ce dernier point peut toutefois souffrir de demeurer indécis, dès lors que le recours interjeté le 10 mars 2014 doit de toute manière être rejeté sur le fond.</w:t>
      </w:r>
    </w:p>
    <w:p>
      <w:r>
        <w:rPr>
          <w:b/>
        </w:rPr>
        <w:t>E. 3</w:t>
      </w:r>
    </w:p>
    <w:p>
      <w:r>
        <w:t>Il convient, préalablement, de s’arrêter sur la question linguistique abordée à diverses reprises par les parties. a) La liberté de la langue garantie par l'art. 18 Cst. (Constitution fédérale de la Confédération suisse du 18 avril 1999 ; RS 101) n'est pas absolue. Dans les rapports avec les autorités cantonales, elle est notamment limitée par le principe de la langue officielle (cf. ATF 138 I 123 consid. 5.2). Celle-ci est elle-même liée au principe de la</w:t>
      </w:r>
    </w:p>
    <w:p>
      <w:r>
        <w:t>- 11 - territorialité, au sens où elle correspond normalement à la langue qui est parlée dans le territoire concerné (cf. ATF 136 I 149 consid. 4.3 et les références citées), à savoir en l’espèce le français (cf. art. 3 Cst-VD [Constitution du canton de Vaud du 14 avril 2003 ; RSV 101.01] ; cf. également art. 26 al. 1 LPA-VD). Ainsi sous réserve de dispositions particulières, telles que les art. 5 par. 2 et 6 par. 3 let. a CEDH (Convention européenne de sauvegarde des droits de l'homme et des libertés fondamentales du 4 novembre 1950 ; RS 0.101), le justiciable n'a en principe aucun droit de communiquer avec les autorités dans une autre langue que la langue officielle, fût-elle sa langue maternelle ou une autre langue nationale (cf. ATF 136 I 149 consid. 4.3, 127 V 219 consid. 2b/aa et 122 I 236 consid. 2c). b) En l’occurrence, le 23 décembre 2013, le recourant a fait savoir à l’intimée qu’il n’était en mesure de communiquer avec elle qu’en anglais ou en italien. Puis, le 7 février 2014, il a argué que l’italien était l’une des langues officielles de la Suisse et qu’il était dès lors habilité à correspondre dans cet idiome. Il apparaît en d’autres termes que, lors de la procédure administrative diligentée par la Caisse, l’intéressé a uniquement cherché à pouvoir écrire ses propres courriers en italien. Or, la CCVD était légitimée à s’y opposer dans la mesure où c’est le français et non l’italien qui est la langue officielle du canton de Vaud (cf. consid. 3a supra). Ce n’est que plus tard, dans le cadre de la présente procédure judiciaire, que le recourant a reproché à la CCVD d’avoir refusé que « toute la correspondance pour être dans la langue italienne » (cf. mémoire de recours du 10 mars 2014). Force est toutefois de constater que, contrairement à ce qu’il laisse entendre, l’intéressé n’a jamais émis la moindre requête concernant la langue des écrits adressés par l’intimée. Quoi qu’il en soit, rien n’obligeait la Caisse – pas plus, d’ailleurs, que la Cour de céans – à correspondre avec le recourant en italien, dès lors qu’il ne s’agit pas de la langue officielle de procédure dans le canton de Vaud (cf. consid. 3a supra).</w:t>
      </w:r>
    </w:p>
    <w:p>
      <w:r>
        <w:t>- 12 - Le Tribunal observe au surplus que l’intéressé, ressortissant britannique, s'est exprimé dans sa langue maternelle dans ses écritures des 23 décembre 2013 et 7 février 2014 à la CCVD, ainsi que dans l’acte du 25 juin 2014 adressé à la Cour de céans –comme le lui permet le droit international (cf. art. 76 § 7 du règlement CE n°883/04 du Parlement européen et du Conseil du 29 avril 2004 portant sur la coordination des systèmes de sécurité sociale [RS 0.831.109.268.1]). En revanche, l’Accord du 21 juin 1999 entre la Confédération suisse, d'une part, et la Communauté européenne et ses Etats membres, d'autre part, sur la libre circulation des personnes (ALCP ; RS 0.142.112.681) ne prévoit pas l’obligation, pour les autorités des Etats parties à l’accord, de s’adresser au justiciable dans sa propre langue (cf. dans ce sens TFA U 260/03 du 24 décembre 2003). A la lumière de ce qui précède, la Cour de céans retient que, du point de vue de la langue de la procédure, la décision querellée n’est affectée d’aucun vice de procédure. Peu importe, dans ces conditions, les connaissances linguistiques du recourant telles énoncées sur le site internet des « S.________ Chambers » mais absentes de celui des « J.________ Barristers Chambers ».</w:t>
      </w:r>
    </w:p>
    <w:p>
      <w:r>
        <w:rPr>
          <w:b/>
        </w:rPr>
        <w:t>E. 4</w:t>
      </w:r>
    </w:p>
    <w:p>
      <w:r>
        <w:t>En ce qui concerne le fond de l’affaire, il y a lieu d’examiner si c’est à juste titre que la CCVD a refusé au recourant l’octroi d’une rente de vieillesse de l’AVS suisse. a) Le recourant étant de nationalité britannique, il doit donc être reconnu comme citoyen d'un Etat membre de la Communauté européenne (à tout le moins à la date, déterminante, de la décision attaquée). Il y a dès lors lieu de se référer à l’ALCP, qui est entré en vigueur pour les relations entre la Suisse et les Etats de l'Union européenne le 1er juin 2002 (cf. ATF 133 V 269 consid. 4.2.1). Doivent également être prises en considération les modification apportées avec effet au 1er avril 2012 par le règlement n° 883/2004 du Parlement européen et du Conseil du 29 avril 2004 portant sur la coordination des systèmes de sécurité sociale (RS 0.831.109.268.1), ainsi que le règlement</w:t>
      </w:r>
    </w:p>
    <w:p>
      <w:r>
        <w:t>- 13 - n° 987/2009 du Parlement européen et du Conseil du 16 septembre 2009 fixant les modalités d'application du règlement n° 883/2004 portant sur la coordination des systèmes de sécurité sociale (RS 0.831.109.268.11). En principe, depuis l'entrée en vigueur de l'ALCP le 1er juin 2002, les accords de sécurité sociale bilatéraux entre la Suisse et les Etats membres de la Communauté européenne – telle la Convention de sécurité sociale entre la Suisse et le Royaume-Uni de Grande-Bretagne et d'Irlande du Nord du 21 février 1968 (RS 0.831.109.367.1) – sont suspendus, dans la mesure où la même matière est régie par cet accord (cf. art. 20 ALCP). Les personnes auxquelles la réglementation communautaire est applicable ne sont soumises qu'à la législation d'un seul Etat membre (cf. art. 11 par. 1 du règlement n° 883/2004), cela afin d’éviter l’application simultanée de plusieurs législations nationales et les complications qui peuvent en résulter, mais également afin d’empêcher que les personnes soient privées de protection en matière de sécurité sociale faute de législation qui leur soit applicable (cf. Michel Valterio, Droit de l’assurance-vieillesse et survivants [AVS] et de l’assurance- invalidité [AI], Genève/Zurich/Bâle 2011, n° 140 p. 51). Le droit communautaire repose en outre sur le principe de l’affiliation au lieu de travail. Ainsi, les ressortissant suisses ou d’un autre Etat membre de l’Union européenne qui travaillent dans un seul pays sont soumis au système d’assurance de celui-ci (cf. art. 11 par. 2 et 3 du règlement n° 883/2004), même s’ils habitent dans un autre pays (cf. Valterio, op. cit., n° 141 p. 51). A noter, par surabondance, que la Convention précitée entre la Suisse et le Royaume-Uni prévoit une réglementation similaire (cf. art. 5 par. 1 de ladite convention). b) Le droit à une rente de vieillesse d'un assuré qui prétend à des prestations de l’AVS suisse est, quant à lui, déterminé exclusivement d'après le droit suisse (cf. ATF 130 V 51 ss ; cf. ch. 3001 de la Circulaire sur la procédure pour la fixation des prestations dans l’AVS/Al [CIBIL]).</w:t>
      </w:r>
    </w:p>
    <w:p>
      <w:r>
        <w:t>- 14 - Selon cette législation, ont droit à une rente ordinaire de vieillesse les hommes qui ont atteint 65 ans et auxquels il est possible de porter en compte au moins une année entière de revenus, de bonifications pour tâches éducatives ou pour tâches d'assistance (cf. art. 21 al. 1 et 29 al. 1 LAVS). 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(cf. art. 29bis al. 1 LAVS). Selon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L’art. 50 RAVS précise qu’une année de cotisations est entière lorsqu'une personne a été assurée obligatoirement ou facultativement pendant plus de onze mois au total et que, pendant ce temps-là, elle a versé la cotisation minimale ou qu'elle présente des périodes de cotisations au sens de l'art. 29ter al. 2 let. b et c LAVS. Conformément aux art. 29quater et 30 al. 2 LAVS, la rente est calculée sur la base du revenu annuel moyen, lequel se compose des revenus de l’activité lucrative (cf. art. 29quinquies LAVS), des bonifications pour tâches éducatives (cf. art. 29sexies LAVS) et des bonifications pour tâches d’assistance (cf. art. 29septies LAVS), et s’obtient en divisant ensuite la somme des revenus revalorisés provenant d’une activité lucrative et les bonifications par le nombre d’années de cotisations. Concernant en particulier les revenus que les époux ont réalisés pendant les années civiles de mariage commun, ils sont répartis et attribués pour moitié à chacun des époux pour chaque année civile durant laquelle les deux conjoints ont été assurés à l’AVS ; cette répartition est effectuée lorsque les deux conjoints ont droit à la rente, lorsqu’une veuve ou un veuf a droit à une rente de vieillesse ou lorsque le mariage est dissous par le divorce</w:t>
      </w:r>
    </w:p>
    <w:p>
      <w:r>
        <w:t>- 15 - ("splitting"; cf. 29quinquies LAVS et art. 50b al. 1 RAVS en relation avec art. 1a LAVS). c) Au cas particulier, il appert que le recourant ne peut pas prétendre à une rente de l’AVS suisse, faute d’être soumis à ce régime. En effet, il est constant que l’intéressé n’a à aucun moment travaillé en Suisse depuis qu’il s’y est installé en 2005, son activité de juge auprès des « [...] Courts of Justice » s’exerçant exclusivement au Royaume-Uni – comme il l’a lui-même expliqué (cf. écriture du 7 février 2014). Dès lors, conformément au principe de l’affiliation au lieu de travail sur lequel repose le droit communautaire (cf. consid. 4a supra), c’est donc bien à la sécurité sociale anglaise que l’intéressé est assujetti et non à l’AVS suisse. Dans de telles constellations, il est certes possible, sur demande, d’adhérer volontairement à l’AVS suisse (cf. art. 1a al. 4 let. a LAVS et art. 5d phr. 1 RAVS ; cf. Valterio, op. cit., n° 114 p. 45 ; cf. ch. 4118 des Directives concernant les rentes [DR] de l’assurance vieillesse, survivants et invalidité fédérale). Toutefois, rien ne montre que tel serait le cas en l’occurrence. L’intéressé – qui aurait d’ailleurs fait l’objet d’une décision de refus d’affiliation en janvier 2009 (cf. décision sur opposition du 20 février 2014 p. 2), dont on ne trouve toutefois aucune trace au dossier – n’ayant donc pas la qualité d’assuré au système suisse de l’AVS, il ne saurait être question de lui octroyer une rente de vieillesse au sens des art. 29 ss LAVS. Attendu que le recourant n’est pas soumis au régime helvétique de sécurité sociale, il n’est corrélativement pas en mesure de satisfaire aux conditions imposées par le droit interne pour l’octroi d’une rente de vieillesse, en particulier sous l’angle de la période minimale de cotisations (cf. en particulier art. 50 RAVS ; cf. également Valterio, op. cit., n° 919 p. 267). Notamment, il n’a jamais versé de cotisations en Suisse comme l’exige la loi (cf. art. 29 al. 1 LAVS en corrélation avec l’art. 50 RAVS), ayant en revanche toujours payé ses contributions à l’égard de la sécurité sociale du Royaume-Uni (cf. opposition du 7 février 2014, acte de recours du 10 mars 2014 et déterminations du 25 juin 2014 p. 1). Ce</w:t>
      </w:r>
    </w:p>
    <w:p>
      <w:r>
        <w:t>- 16 - constat demeure inchangé nonobstant la dispense que l’intéressé soutient s’être vu accorder en juin 2010 (cf. écriture du 7 février 2014), étant précisé que le dossier ne contient du reste aucune trace de ce document. Faute de tomber dans le champ d’application de l’AVS suisse, le recourant ne peut en outre prétendre à la prise en considération de la moitié des revenus réalisés par son épouse dans ce pays (cf. écritures des 23 décembre 2013 et 7 février 2014) : en effet, un tel partage est subordonné à la condition que les conjoints aient été assurés à l’AVS durant les mêmes années civiles de mariage, les années durant lesquelles un seul conjoint était assuré n’étant pas soumises au partage des revenus (cf. art. 29quinquies al. 4 let. b LAVS et art. 50b al. 1 RAVS ; cf. également Valterio, op. cit., n° 948 p. 274). Au surplus, même à l’égard de personnes qui – contrairement au recourant – sont assujetties à l’AVS suisse, le partage ne peut intervenir que dans des situations données (cf. art. 29quinquies al. 3 let. a, b et c LAVS), dont la situation de l’intéressé ne peut de toute manière être rapprochée. On relèvera enfin, à l’instar de la CCVD (cf. réponse du 10 avril 2014 p. 3), que les bonifications pour tâches éducatives ne peuvent être allouées au parent qui, comme le recourant, n’a pas la qualité d’assuré (cf. Valterio, op. cit., n° 970 p. 278). Dans ces conditions, la Cour de céans ne peut que rejoindre la position de l’intimée, déniant le droit du recourant à une rente de l’AVS suisse d) A l’aune de ces éléments, force est de conclure que la décision litigieuse s’avère conforme au droit.</w:t>
      </w:r>
    </w:p>
    <w:p>
      <w:r>
        <w:rPr>
          <w:b/>
        </w:rPr>
        <w:t>E. 5</w:t>
      </w:r>
    </w:p>
    <w:p>
      <w:r>
        <w:t>a) Il découle de ce qui précède que le recours, pour autant qu’il ne soit pas sans objet, doit être rejeté dans la mesure de sa recevabilité, et la décision attaquée confirmée. b) Il n'y a pas lieu de percevoir de frais judiciaires, la procédure étant gratuite (cf. art. 61 let. a LPGA), ni d'allouer de dépens, dès lors que le recourant n'obtient pas gain de cause (cf. art. 55 al. 1 LPA- VD ; cf. 61 let. g LPGA).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