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ZC14.007924 vom 1. Juni 2015</w:t>
      </w:r>
    </w:p>
    <w:p>
      <w:r>
        <w:t>VD Tribunal cantonal, 2015-06-01, FR</w:t>
      </w:r>
    </w:p>
    <w:p>
      <w:r>
        <w:rPr>
          <w:b/>
        </w:rPr>
        <w:t xml:space="preserve">Quelle: </w:t>
      </w:r>
      <w:r>
        <w:t>https://mcp.opencaselaw.ch/entscheid/vd_gerichte_ZC14.007924</w:t>
      </w:r>
    </w:p>
    <w:p>
      <w:r>
        <w:t>FR: VD_GERICHTE ZC14.007924 du 1 juin 2015</w:t>
      </w:r>
    </w:p>
    <w:p>
      <w:r>
        <w:t>IT: VD_GERICHTE ZC14.007924 del 1 giugno 2015</w:t>
      </w:r>
    </w:p>
    <w:p>
      <w:pPr>
        <w:pStyle w:val="Heading2"/>
      </w:pPr>
      <w:r>
        <w:t>Erwägungen</w:t>
      </w:r>
    </w:p>
    <w:p>
      <w:r>
        <w:rPr>
          <w:b/>
        </w:rPr>
        <w:t>E. 1</w:t>
      </w:r>
    </w:p>
    <w:p>
      <w:r>
        <w:t>a) Les dispositions de la LPGA (loi fédérale sur la partie générale du droit des assurances sociales du 6 octobre 2000; RS 830.1) s'appliquent à l'Assurance vieillesse et survivants (art. 1 LAVS [loi fédérale sur l'assurance-vieillesse et survivants du 20 décembre 1946; RS 831.10]). La LPA-VD (loi vaudoise sur la procédure administrative du 28 octobre 2008; RSV 173.36) est en outre applicable (art. 2 al. 1 let. c LPA-VD). b)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cette compétence échoit à la cour des assurances sociales du Tribunal cantonal (art. 93 let. a LPA-VD).</w:t>
      </w:r>
    </w:p>
    <w:p>
      <w:r>
        <w:t>- 12 - c) Le recours doit être déposé dans les trente jours suivant la notification de la décision sujette à recours (art. 60 al. 1 LPGA). Dans le cas présent, l'intimée a notifié la décision sur opposition litigieuse au précédent conseil du recourant, selon les instructions données en annexe à l’opposition du 9 janvier 2014. Si le recourant souhaitait recevoir directement la décision, il lui appartenait de le faire savoir clairement à l'autorité intimée. Il ne saurait en revanche exiger de celle-ci qu'elle notifie l'original de la décision à lui-même et adresse une copie de celle-ci à un tiers, ce qui ne ressort d’ailleurs pas expressément des lignes adressées à l’intimée. La décision attaquée a ainsi été valablement notifiée. Cela étant, le recours a été formé en temps utile et respecte en outre les formalités prévues par la loi (art. 61 let. b LPGA notamment), de sorte qu'il est recevable.</w:t>
      </w:r>
    </w:p>
    <w:p>
      <w:r>
        <w:rPr>
          <w:b/>
        </w:rPr>
        <w:t>E. 2</w:t>
      </w:r>
    </w:p>
    <w:p>
      <w:r>
        <w:t>Le litige porte en l’espèce sur le statut du recourant, savoir sa qualité de dépendant ou d'indépendant.</w:t>
      </w:r>
    </w:p>
    <w:p>
      <w:r>
        <w:rPr>
          <w:b/>
        </w:rPr>
        <w:t>E. 3</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sur l’assurance-vieillesse et survivants du 31 octobre 1947; RS 831.101]). Selon l’art. 5 al. 2 LAVS, on considère comme salaire déterminant toute rétribution pour un travail dépendant effectué dans un temps déterminé; quant au revenu provenant d’une activité indépendante, il comprend tout revenu du travail autre que la rémunération pour un travail accompli dans une situation dépendante (art. 9 al. 1 LAVS; cf. aussi art. 12 al. 1 LPGA). Selon la jurisprudence, le point de savoir si l'on a affaire, dans un cas donné, à une activité indépendante ou salariée ne doit pas être</w:t>
      </w:r>
    </w:p>
    <w:p>
      <w:r>
        <w:t>- 13 -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consid. 1; ATF 122 V 169 consid. 3a, ATF 122 V 281 consid. 2a; ATF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RCC 1986 p. 651 consid. 4c;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(TFA H 6/05 du 19 mai 2006 consid. 2.3; Kieser, Rechtsprechung zur Alters- und Hinterlassenenversicherung, 3e éd., Zürich 2012, n. 4 ad art. 5 LAVS; TF 9C_1062/2010 du 5 juillet 2011 consid. 7.1).</w:t>
      </w:r>
    </w:p>
    <w:p>
      <w:r>
        <w:t>- 14 - b) L’OFAS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ATF 117 V 282 consid. 4c; ATF 116 V 16 consid. 3c; ATF 114 V 13 consid. 1c; ATF 113 V 17 spéc. 21; ATF 110 V 263 spéc. 267 s.; ATF 107 V 153 consid. 2b; voir aussi ATF 117 lb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encouru par l'entrepreneur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Quant au rapport social de dépendance économique, respectivement dans l'organisation du travail, du salarié, il se manifeste notamment par l'existence (ch. 1015 DSD) : - d'un droit de donner des instructions au salarié;</w:t>
      </w:r>
    </w:p>
    <w:p>
      <w:r>
        <w:t>- 15 - - d'un rapport de subordination; - de l'obligation de remplir la tâche personnellement; - d'une prohibition de faire concurrence; - d'un devoir de présence.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précité consid. 5.1 et réf. cit.).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w:t>
      </w:r>
    </w:p>
    <w:p>
      <w:r>
        <w:t>- 16 - reconnaître le statut d’indépendant (ch. 1027 DSD). De même, la qualification attribuée à tel ou tel revenu par l’autorité fiscale est sans incidence en la matière (ch. 1030 DSD). Selon le ch. 2042 DSD,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Selon le ch. 4107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du travail. Ainsi, dans l'arrêt rendu le 25 juin 1992 (RCC 1983, p. 192), le TF a considéré que le conseiller d'entreprise qui travaille d'une manière indépendante et sans être tenu de suivre des instructions pour une entreprise, avait le statut d'indépendant.</w:t>
      </w:r>
    </w:p>
    <w:p>
      <w:r>
        <w:rPr>
          <w:b/>
        </w:rPr>
        <w:t>E. 4</w:t>
      </w:r>
    </w:p>
    <w:p>
      <w:r>
        <w:t>En l'espèce, le recourant est président du conseil d'administration de la société Q.________SA depuis le 19 octobre 1995, comme en atteste le procès-verbal qu'il a produit. Auparavant, il était administrateur de cette société. Selon ce procès verbal, la société comporte quatre administrateurs. Dans le questionnaire d'affiliation, le recourant a déclaré qu’il travaillait dans les locaux de ses mandants mis gratuitement à disposition, que son activité étant suivie et qu'il devait effectuer lui-même son travail. En cours de procédure seulement, le recourant est revenu sur ses déclarations en alléguant travailler à plus de</w:t>
      </w:r>
    </w:p>
    <w:p>
      <w:r>
        <w:t>- 17 - 50% chez lui, ne pas exercer cette activité de manière suivie ni être obligé d'exécuter personnellement les travaux confiés. Vu les hautes qualifications du recourant, on ne saurait considérer qu'il n'a pas compris les questions posées dans le questionnaire. Or lorsque les déclarations successives de l'intéressé sont contradictoires entre elles, il convient de retenir la première affirmation, qui correspond généralement à celle que l'assuré a faite alors qu'il n'était pas encore conscient de ses conséquences juridiques, les nouvelles explications pouvant être, consciemment ou non, le produit de réflexions ultérieures (TF 8C_513/2011 du 22 mai 2012 et réf. cit.). On retiendra donc les premières déclarations du recourant, qui sont d'ailleurs corroborées par d'autres éléments. En effet, le recourant collabore avec la société Q.________SA depuis l’année 1997. Selon les pièces qu'il a produites, ses revenus proviennent principalement de cette société et accessoirement de ses filiales, à concurrence de 14'000 fr. par an pour les années 2008 et 2009. De leur côté, les revenus du recourant provenant de sa relation contractuelle avec Q.________SA – tels qu’ils ressortent des comptes de profits et pertes produits – s’élevaient à 162'753 fr. pour l’année 2008, 163'427 fr. 90 pour l’année 2009, 136'067 fr. 81 pour l’année 2011 et de 168'271 fr. 97 pour l’année 2012. En outre, selon le bulletin de paie établi par Q.________SA pour le mois de février 2014, le salaire du recourant en tant que président directeur général s'est élevé à 4'574 euros brut, ce salaire n'ayant pas varié depuis l’année 1995. Il ne résulte en outre pas de ces pièces comptables que le recourant aurait engagé du personnel. Contrairement à la situation d'un entrepreneur également administrateur d'une société, qui effectuerait certains travaux de construction pour celle-ci par exemple (cf. à cet égard ch. 2042 DSD précité), le recourant collabore presque exclusivement avec Q.________SA depuis de nombreuses années. Même s'il n'y a pas de clause de non concurrence et que le recourant bénéficie d'une certaine liberté dans l'organisation de son travail, on ne saurait considérer, au vu de l'ensemble des circonstances, qu'il n'y a pas de lien de subordination entre cette société et le recourant.</w:t>
      </w:r>
    </w:p>
    <w:p>
      <w:r>
        <w:t>- 18 - Le recourant ne supporte en outre pas le risque économique lié à son activité, ce qui plaide également en faveur d’une activité dépendante (cf. les arrêts cités supra consid. 3/a; ch. 1013 DSD, cf. supra consid. 3/b). En effet, l’intéressé et Q.________SA sont convenus d’une rémunération forfaitaire de 1'067.14 Euros par jour, sans que les éventuels bénéfices ou pertes résultant de son activité de conseil n’influent sur ce montant. Le recourant a quant à lui relevé qu’il s’était vu contraint, durant l’année 2005, de restituer à cette société un montant supérieur à une année d’honoraires, ceux-ci n’étant par ailleurs versés que si la bonne santé financière de Q.________SA le permettait. On ne saurait toutefois en déduire un statut d’indépendant. En effet, le recourant est certes tributaire de la bonne santé financière de la société pour le paiement de ses honoraires, mais cette situation est également celle d’un employé – dépendant – dans l’attente du versement de son salaire. La différence de statut ne réside à cet égard pas dans l’acquittement de ses dettes en salaire ou honoraires par la société, mais bien plus dans le mode de rémunération convenu. Rien n’obligeait au surplus le recourant à abandonner sa créance – cet abandon n’étant d’ailleurs pas définitif, vu la réserve de retour à meilleure fortune intégrée à l’accord –, si ce n’est sa double qualité de président directeur général et d’actionnaire. Cette double qualité est toutefois sans incidence dans le cas d’espèce. Pour le surplus, le recourant n’a pas démontré – ni même allégué – qu’une action en paiement des honoraires échus étaient exclue ou vaine. Par ailleurs, vu le nombre de jours facturés pour l’année 2013, l’activité du recourant pour Q.________SA correspond manifestement à celle que déploie régulièrement un consultant au profit du même mandant. Par corollaire, une éventuelle révocation du mandat aurait placé le recourant dans la situation d’un salarié perdant son emploi. En définitive, l'affiliation du recourant en qualité de salarié d’un employeur étranger non tenu de cotiser est dès lors justifiée.</w:t>
      </w:r>
    </w:p>
    <w:p>
      <w:r>
        <w:t>- 19 -</w:t>
      </w:r>
    </w:p>
    <w:p>
      <w:r>
        <w:rPr>
          <w:b/>
        </w:rPr>
        <w:t>E. 5</w:t>
      </w:r>
    </w:p>
    <w:p>
      <w:r>
        <w:t>a) En conséquence, la décision sur opposition litigieuse du 21 janvier 2014 doit être confirmée et le recours rejeté. b) La procédure étant gratuite (art. 61 let. a LPGA), il n’es pas perçu de frais judiciaires. Vu le sort du recours, il n’y a pas non plus lieu d’allouer de dépens au recourant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