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ZC14.005382 vom 22. Mai 2014</w:t>
      </w:r>
    </w:p>
    <w:p>
      <w:r>
        <w:t>VD Tribunal cantonal, 2014-05-22, FR</w:t>
      </w:r>
    </w:p>
    <w:p>
      <w:r>
        <w:rPr>
          <w:b/>
        </w:rPr>
        <w:t xml:space="preserve">Quelle: </w:t>
      </w:r>
      <w:r>
        <w:t>https://mcp.opencaselaw.ch/entscheid/vd_gerichte_ZC14.005382</w:t>
      </w:r>
    </w:p>
    <w:p>
      <w:r>
        <w:t>FR: VD_GERICHTE ZC14.005382 du 22 mai 2014</w:t>
      </w:r>
    </w:p>
    <w:p>
      <w:r>
        <w:t>IT: VD_GERICHTE ZC14.005382 del 22 maggio 2014</w:t>
      </w:r>
    </w:p>
    <w:p>
      <w:pPr>
        <w:pStyle w:val="Heading2"/>
      </w:pPr>
      <w:r>
        <w:t>Erwägungen</w:t>
      </w:r>
    </w:p>
    <w:p>
      <w:r>
        <w:rPr>
          <w:b/>
        </w:rPr>
        <w:t>E. 1</w:t>
      </w:r>
    </w:p>
    <w:p>
      <w:r>
        <w:t>a) Les dispositions de la loi fédérale du 6 octobre 2000 sur la partie générale du droit des assurances sociales (LPGA ; RS 830.1) s'appliquent à l'AVS (art. 1 LAVS [loi fédérale du 20 décembre 1946 sur l’assurance-vieillesse et survivants ;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les deux recours, interjetés en temps utile devant le tribunal compétent et selon les formes prescrites par la loi (art. 61 let. b LPGA), sont recevables. b) La loi cantonale vaudoise du 28 octobre 2008 sur la procédure administrative (LPA-VD ; RSV 173.36) s'applique aux recours et contestations par voie d'action dans le domaine des assurances sociales (art. 2 al. 1 let. c LPA-VD). La valeur litigieuse étant inférieure à 30'000 fr., le juge unique est compétent pour statuer dans la présente cause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- 7 - ensemble, mais se borne à examiner les aspects de cette décision que le recourant a critiqués, exception faite lorsque les points non critiqués ont des liens étroits avec la question litigieuse (cf. ATF 125 V 413 c. 2c et 110 V 48 c. 4a ; RCC 1985 p. 53). b) Le litige porte en l’espèce sur la question de savoir si l'activité de D.________ pour le compte de A.________ SA est indépendante ou salariée.</w:t>
      </w:r>
    </w:p>
    <w:p>
      <w:r>
        <w:rPr>
          <w:b/>
        </w:rPr>
        <w:t>E. 3</w:t>
      </w:r>
    </w:p>
    <w:p>
      <w:r>
        <w:t>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art. 6 ss RAVS [règlement fédéral du 31 octobre 1947 sur l'assurance-vieillesse et survivants ; RS 831.101]).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Est considéré comme employeur quiconque verse à des personnes obligatoirement assurées une rémunération au sens de l’art. 5 al. 2 (art. 12 al. 1 LAVS).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w:t>
      </w:r>
    </w:p>
    <w:p>
      <w:r>
        <w:t>- 8 -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 pour trancher la question, on se demandera quels éléments sont prédominants dans le cas concret (ATF 123 V 161 consid. 1 p. 162, 122 V 169 consid. 3a p. 171, 122 V 281 consid. 2a p. 283, 119 V 161 consid. 2 et les références ; TFA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111 consid. 5a ; 1986 p. 651 consid. 4c ;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p. 78 sv.). En outre, la possibilité pour le travailleur d’organiser son horaire de travail ne signifie pas nécessairement qu’il s’agit d’une activité indépendante (ATF 122 V 172 consid. 3c ; TFA H 334/03 du 10 janvier 2005, consid. 6.2.1). Le critère du risque économique de l'entrepreneur n'est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w:t>
      </w:r>
    </w:p>
    <w:p>
      <w:r>
        <w:t>- 9 -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9C_930/2012 du 6 juin 2012 consid. 6.2, 9C_946/2009 consid. 5.1 [in : SVR 2011 AHV n° 11 p. 33] et H 19/06 du 14 février 2007 consid. 5.1). b)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sv, 107 V 153 consid. 2b ; voir aussi ATF 117 lb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Selon le chiffre 1014 DSD, constituent notamment des indices révélant l’existence d’un risque économique d’entrepreneur le fait que l’assuré : – opère des investissements importants – encourt les pertes – supporte le risque d’encaissement et de ducroire</w:t>
      </w:r>
    </w:p>
    <w:p>
      <w:r>
        <w:t>- 10 - – supporte les frais généraux – agit en son propre nom et pour son propre compte – se procure lui-même les mandats – occupe du personnel – utilise ses propres locaux commerciaux.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Ainsi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Les ch. 4019 et suivants DSD visent les « voyageurs et représentants de commerce et personnes exerçant une profession analogue », à savoir les « personnes physiques qui, contre rémunération, concluent ou négocient la conclusion d’affaires au nom et pour le compte d’un tiers, en dehors des locaux commerciaux de ce tiers » (ch. 4020 DSD). Ces personnes ne sont qu’exceptionnellement considérées comme des travailleurs indépendants, à moins qu’ils doivent supporter un « véritable risque économique d’entrepreneur, c’est-à-dire […] disposer d’une propre organisation de vente » (ch. 4024 DSD). Cette organisation existe lorsque les trois conditions suivantes sont remplies simultanément ou cumulativement : utiliser ses propres locaux commerciaux ou des</w:t>
      </w:r>
    </w:p>
    <w:p>
      <w:r>
        <w:t>- 11 - locaux loués, occuper du personnel, supporter soi-même la majeure partie des frais généraux (ch. 4025 DSD). S'agissant des sous-traitants, les chiffres 4046 ss DSD prévoient que ceux-ci sont en règle générale assimilés à des salariés, sauf s'ils possèdent, notamment, leur propre organisation d'entreprise.</w:t>
      </w:r>
    </w:p>
    <w:p>
      <w:r>
        <w:rPr>
          <w:b/>
        </w:rPr>
        <w:t>E. 4</w:t>
      </w:r>
    </w:p>
    <w:p>
      <w:r>
        <w:t>En l'espèce, le recourant exerce son activité seul, sans occuper de personnel. Il cherche lui-même sa clientèle et allègue s’organiser à sa guise, sans être contredit. Il supporte en outre personnellement les frais liés à l’exercice de son activité. Bien qu’il ait très largement collaboré entre 2009 et 2012 avec la recourante, il a également réalisé des revenus pour le compte de B._______ SA et C.________ BV. Il apparaît que s’il traite essentiellement avec la recourante, cela tient aux circonstances, et en particulier à la mise en place d’un marché avec la Russie, étant précisé que rien ne semble s’opposer à ce qu’il conclue à tout moment et en toute liberté des contrats avec d’autres partenaires. Au demeurant, comme la jurisprudence l’a précisé,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(Raphael Lanz, Die Abgrenzung der selbständigen von den unselbständigen Erwerbstätigkeit im Sozialversicherungs-, Steuer- und Zivilrecht, in : PJA 12/1997 p. 1474 sv. ; Pierre-Yves Greber / Jean-Louis Duc / Gustavo Scartazzini, Commentaire des art. 1 à 16 de la loi fédérale sur l'assurance-vieillesse et survivants [LAVS], Bâle 1997, n. 103 ad art. 5 ; Hanspeter Käser, Unterstellung und Beitragswesen in der obligatorischen AHV, Berne 1996, p. 120, n. 4.30). Ainsi, s’il n’est pas contesté que le recourant traite très majoritairement avec la recourante, cet élément n’est pas, au vu de l’ensemble des circonstances concrètes du cas d’espèce, suffisant pour</w:t>
      </w:r>
    </w:p>
    <w:p>
      <w:r>
        <w:t>- 12 - écarter l’existence d’une activité indépendante. En particulier, on ne trouve au dossier aucun indice d’un quelconque lien de subordination organisationnelle du recourant vis-à-vis de la recourante. Le recourant entreprend des démarches en son propre nom et pour son propre compte, sans que la recourante ne lui donne d’instruction ou n’interfère dans son activité. En particulier, il peut organiser son activité à sa guise sans devoir observer un horaire déterminé. Il peut en outre faire appel au besoin à des partenaires qu’il paie en son nom et pour son compte. Enfin, il n’apparaît pas que les relations entre la recourante et le recourant soient réglées par un accord assimilable de près ou de loin à un contrat de travail. A ce titre, si la recourante devait mettre un terme, pour une raison ou une autre, à ses relations avec le recourant, on ne peut raisonnablement affirmer que ce dernier se retrouverait dans une situation analogue à celle d’un salarié qui perd son emploi. Le fait qu’il traite avec d’autres partenaires constitue un indice supplémentaire de l’indépendance dont il jouit dans la conduite de son activité. On constate encore que le recourant doit engager et supporter les frais nécessaires à l’exercice de son activité et que ses frais généraux ne sont pas compensés par la recourante si bien que le recourant supporte effectivement un risque d’entrepreneur. On relèvera enfin que c’est uniquement parce qu’elle a estimé que l’importance économique de l’activité du recourant était faible que la Caisse genevoise X.________ a classé sa demande d’affiliation, sans toutefois examiner s’il convenait de considérer le recourant comme un salarié ou un indépendant. On ne peut donc déduire de cette seule absence d’affiliation que le recourant doit être considéré comme un salarié. Finalement, il existe une accumulation prépondérante d’indices attestant l’existence d’une activité indépendante.</w:t>
      </w:r>
    </w:p>
    <w:p>
      <w:r>
        <w:rPr>
          <w:b/>
        </w:rPr>
        <w:t>E. 5</w:t>
      </w:r>
    </w:p>
    <w:p>
      <w:r>
        <w:t>a) Au regard de ce qui précède, les recours déposés respectivement par A.________ SA et D.________ doivent être admis et la décision entreprise annulée. b) Il n’y pas lieu de percevoir de frais judiciaires, la procédure de recours étant gratuite (art. 61 let. a LPGA). Il n’y a également pas lieu</w:t>
      </w:r>
    </w:p>
    <w:p>
      <w:r>
        <w:t>- 13 - d’allouer de dépens à A.________ SA, cette société ayant procédé sans l’assistance d’un mandataire professionnel (art. 61 let. g LPGA ; art. 55 al. 1 LPA-VD). A l’inverse, l’intimée versera à D.________ des dépens qu’il convient de fixer à 2'000 francs. Par ces motifs, la juge unique p r o n o n c e : I. Les recours déposés par la société A.________ SA le 10 février 2014 et par D.________ le 13 février 2014 sont admis. II. La décision sur opposition rendue le 14 janvier 2014 par la Caisse AVS de la Fédération Patronale Vaudoise est annulée. III. Il n’est pas perçu de frais judiciaires. IV. Il n’est pas alloué de dépens à la société A.________ SA. V. La Caisse AVS de la Fédération Patronale Vaudoise versera à D.________ la somme de 2'000 fr. (deux mille francs) à titre de dépens. La juge unique : Le greffier :</w:t>
      </w:r>
    </w:p>
    <w:p>
      <w:r>
        <w:t>- 14 - Du L'arrêt qui précède est notifié à : - A.________ SA, - Me Soudovtsev-Makarova (pour D.________),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