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ZC13.054154 vom 6. Juli 2015</w:t>
      </w:r>
    </w:p>
    <w:p>
      <w:r>
        <w:t>VD Tribunal cantonal, 2015-07-06, FR</w:t>
      </w:r>
    </w:p>
    <w:p>
      <w:r>
        <w:rPr>
          <w:b/>
        </w:rPr>
        <w:t xml:space="preserve">Quelle: </w:t>
      </w:r>
      <w:r>
        <w:t>https://mcp.opencaselaw.ch/entscheid/vd_gerichte_ZC13.054154</w:t>
      </w:r>
    </w:p>
    <w:p>
      <w:r>
        <w:t>FR: VD_GERICHTE ZC13.054154 du 6 juillet 2015</w:t>
      </w:r>
    </w:p>
    <w:p>
      <w:r>
        <w:t>IT: VD_GERICHTE ZC13.054154 del 6 luglio 2015</w:t>
      </w:r>
    </w:p>
    <w:p>
      <w:pPr>
        <w:pStyle w:val="Heading2"/>
      </w:pPr>
      <w:r>
        <w:t>Erwägungen</w:t>
      </w:r>
    </w:p>
    <w:p>
      <w:r>
        <w:rPr>
          <w:b/>
        </w:rPr>
        <w:t>E. 29</w:t>
      </w:r>
    </w:p>
    <w:p>
      <w:r>
        <w:t>octobre 2009. X.________ était pourvu de la signature collective à deux, conjointement avec D.________SA. Dans l’intervalle, soit dès juillet 2004, la société D.________SA a été affiliée en qualité d’employeur auprès de la Caisse de compensation de la Fédération vaudoise des entrepreneurs (ci-après : la Caisse de la FVE ou l’intimée). B. A compter de septembre 2007, la Caisse de la FVE a rencontré des difficultés récurrentes d’encaissement des cotisations sociales qui l’ont contrainte à entamer régulièrement des procédures de poursuite. La saisie opérée par l’Office des poursuites de [...] et les versements effectués par D.________SA ont permis de solder les montants de cotisations dus jusqu’en juillet 2008. Par décision du Tribunal de l’arrondissement de [...] du 10 mai 2011, la société a été déclarée en faillite avec effet au 28 septembre 2011. La Caisse de la FVE a produit sa créance de cotisations sociales (AVS/AI/APG/AF/AC) pour la période s’étendant d’août 2008 à mars 2011, y inclus les frais d’administration, de poursuite et les intérêts</w:t>
      </w:r>
    </w:p>
    <w:p>
      <w:r>
        <w:t>- 3 - moratoires, au titre de créance privilégiée de deuxième classe, ainsi que sa créance de frais de sommation en troisième classe, pour un total de 270'534 fr. 90 par correspondance du 19 décembre 2011. Ce total a été porté à 273'268 fr. 80 le 9 février 2012 suite à l’établissement du décompte final de cotisations relatif à l’année 2011 avant d’être ramené à 272'881 fr. 35 après la redistribution de la taxe CO2 afférente à cette même année le 4 juillet 2012. C. Compte tenu des informations reçues de l’Office des faillites de [...], lesquelles laissaient présumer l’absence de tout dividende, soit l’insolvabilité de D.________SA, la Caisse de la FVE a rendu une décision à l’encontre de X.________ en date du 21 novembre 2012. Elle a requis la réparation partielle de son dommage à concurrence de 209'474 fr. 75 correspondant aux cotisations sociales, frais d’administration, de poursuite et taxes de sommation impayés, portant sur la période d’août 2008 à octobre 2009. X.________ s’est opposé à cette décision par acte du 10 décembre 2012, faisant valoir la cessation de ses fonctions d’administrateur au sein de D.________SA à compter du 29 octobre 2009, soit bien avant le prononcé de faillite. Il a au surplus souligné avoir confirmé à la Caisse de la FVE, avant sa radiation du conseil d’administration, que les montants dus par la société avaient été réglés. Par décision sur opposition du 14 novembre 2013, la Caisse de la FVE a admis partiellement l’opposition de X.________ et réformé sa décision du 21 novembre 2012 en ce sens que le montant du dommage réclamé à ce dernier a été réduit à 177’899 fr. 45, correspondant au montant impayé arrêté au</w:t>
      </w:r>
    </w:p>
    <w:p>
      <w:r>
        <w:rPr>
          <w:b/>
        </w:rPr>
        <w:t>E. 30</w:t>
      </w:r>
    </w:p>
    <w:p>
      <w:r>
        <w:t>septembre 2009 par la Caisse de la FVE, s’élève bien à 177'899 fr. 45.</w:t>
      </w:r>
    </w:p>
    <w:p>
      <w:r>
        <w:t>- 21 - 9. 9.1 En vertu de l’art. 85 al. 1 CO (Code des obligations du 30 mars 1911 ; RS 22), le débiteur ne peut imputer un paiement partiel sur le capital qu’en tant qu’il n’est pas en retard avec les intérêts ou les frais. Autrement dit, le débiteur doit imputer son paiement partiel en priorité sur les intérêts et les frais (cf. Denis Loertscher, in : Commentaire romand CO I, 2ème éd. 2012, n. 1 ad art. 85 CO). Selon l'art. 86 al. 1 CO,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pas immédiatement (art. 86 al. 2 CO). A teneur de l'art. 87 al. 1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9.2 Ces règles sont applicables par analogie dans le domaine des cotisations des assurances sociales. Dès lors, en dehors de paiements dans le cadre de poursuites, le paiement de cotisations arriérées par l'employeur doit en principe être imputé d'abord sur la dette de cotisations la plus ancienne (et dans ce cadre prioritairement sur les frais et intérêts), à moins d'une déclaration de l'employeur par laquelle il manifeste, au moment du paiement, sa volonté de régler une dette de cotisations plus récente ou, à défaut, une déclaration par laquelle la caisse donne quittance du paiement d'une dette de son choix (TF 9C_325/2010 du 10 décembre 2010 consid. 7.1.2 et TFA H 232/04 du 2 février 2006 consid. 2.2, in : REAS 2006 p. 160 ; voir également ATF 112 V 1 consid. 3d).</w:t>
      </w:r>
    </w:p>
    <w:p>
      <w:r>
        <w:t>- 22 - 9.3 On précisera par ailleurs que, comme l’a souligné à bon droit l’intimée, la ventilation des montants acquittés en mains de l’office des poursuites compétent est effectuée de facto par ce dernier, puisque les versements sont attribués directement à la procédure de poursuite concernée, sans modification possible des périodes créditées par la caisse de compensation (cf. art. 87 al. 1 CO précité). Enfin, on relèvera que les versements acquittés par D.________SA, postérieurement à la démission du recourant, ont été portés en déduction des dettes les plus anciennes, ainsi qu’il ressort des extraits de compte produits par l’intimée. Pour les montants crédités, respectivement payés par D.________SA, il est renvoyé aux chiffres retenus ci-dessus au considérant 8, sous rubrique « crédit ». Il ressort en outre de la vérification des chiffres indiqués par l’intimée que celle-ci a ventilé les paiements selon les principes susmentionnés. Cette conclusion est d’ailleurs corroborée par le fait que les arriérés dus jusqu’en juillet 2008 ont été soldés. Dans la mesure où le recourant n’a aucunement justifié ses allégués quant à une comptabilisation erronée du fait de la Caisse de la FVE, ni donné suite aux invitations de la Cour de céans à se déterminer avec la possibilité de consulter le dossier, il y a lieu de retenir les explications convaincantes de l’intimée pour écarter les griefs non étayés du recourant. 10. Au vu de ce qui précède, le demande en réparation du dommage de l’intimée formulée à hauteur de 177'899 fr. 45 à l’encontre du recourant, sur la base de l’art. 52 LAVS, se révèle bien fondée. Le recours doit donc être rejeté et la décision sur opposition querellée confirmée.</w:t>
      </w:r>
    </w:p>
    <w:p>
      <w:r>
        <w:t>- 23 - En vertu du droit fédéral, la procédure est gratuite (cf. art. 61 let. a LPGA). Il n’y a pas lieu d’allouer des dépens, ni au recourant, au demeurant non assisté, qui succombe, ni à la caisse intimée, qui n’y a pas droit en sa qualité d’assureur social (cf. art. 61 let. g LPGA et 55 al. 1 LPA- VD ; ATF 128 V 323 ; 127 V 205 ; 126 V 143).</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