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ZC13.036437 vom 18. Mai 2015</w:t>
      </w:r>
    </w:p>
    <w:p>
      <w:r>
        <w:t>VD Tribunal cantonal, 2015-05-18, FR</w:t>
      </w:r>
    </w:p>
    <w:p>
      <w:r>
        <w:rPr>
          <w:b/>
        </w:rPr>
        <w:t xml:space="preserve">Quelle: </w:t>
      </w:r>
      <w:r>
        <w:t>https://mcp.opencaselaw.ch/entscheid/vd_gerichte_ZC13.036437</w:t>
      </w:r>
    </w:p>
    <w:p>
      <w:r>
        <w:t>FR: VD_GERICHTE ZC13.036437 du 18 mai 2015</w:t>
      </w:r>
    </w:p>
    <w:p>
      <w:r>
        <w:t>IT: VD_GERICHTE ZC13.036437 del 18 maggio 2015</w:t>
      </w:r>
    </w:p>
    <w:p>
      <w:pPr>
        <w:pStyle w:val="Heading2"/>
      </w:pPr>
      <w:r>
        <w:t>Erwägungen</w:t>
      </w:r>
    </w:p>
    <w:p>
      <w:r>
        <w:rPr>
          <w:b/>
        </w:rPr>
        <w:t>E. 1</w:t>
      </w:r>
    </w:p>
    <w:p>
      <w:r>
        <w:t>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w:t>
      </w:r>
    </w:p>
    <w:p>
      <w:r>
        <w:rPr>
          <w:b/>
        </w:rPr>
        <w:t>E. 2</w:t>
      </w:r>
    </w:p>
    <w:p>
      <w:r>
        <w:t>Le litige porte sur l’obligation des recourants de verser à l’intimée, solidairement entre eux, un montant de 35'836 fr. 30 à titre de réparation du dommage qu’elle allègue avoir subi, ensuite du non- paiement de cotisations sociales par N.________S.à.r.l pour les années 2008 et 2009.</w:t>
      </w:r>
    </w:p>
    <w:p>
      <w:r>
        <w:t>- 4 -</w:t>
      </w:r>
    </w:p>
    <w:p>
      <w:r>
        <w:rPr>
          <w:b/>
        </w:rPr>
        <w:t>E. 3</w:t>
      </w:r>
    </w:p>
    <w:p>
      <w:r>
        <w:t>a) En vertu de l'art. 52 LAVS (loi fédérale du 20 décembre 1946 sur l’assurance-vieillesse ; RS 831.10),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Les personnes qui sont organes formels et légaux d’une personne morale, notamment d’une société à responsabilité limitée, entrent en principe toujours en considération en tant que responsables subsidiaires aux conditions de l’art. 52 LAVS (cf. ATF 132 III 523 consid. 4.5 ; 126 V 237 ; TF 9C_1086/2009 du 15 juillet 2010 consid. 4.2). Cela dit,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ou lui incombe légalement. L’organe ne répond ainsi du dommage que s’il a violé intentionnellement ou par une négligence grave ses devoirs et qu'il existe un lien de causalité adéquate entre le manquement qui lui est imputable et le préjudice subi par la caisse de compensation (ATF 132 III 523 consid. 4.6). b)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Selon une jurisprudence constante relative à la responsabilité subsidiaire des organes d’une personne morale, fondée sur l’art. 52 LAVS, le dommage est réputé survenu dès que l'on doit admettre que les cotisations normalement à la charge de l'employeur ne peuvent plus être perçues, pour des raisons juridiques ou de fait. La première éventualité vise les cotisations frappées de péremption selon l'art. 16 al. 1 LAVS ; la seconde, les cotisations qui n'ont pas pu être encaissées selon la procédure instituée à cet effet en raison de l'insolvabilité de l'employeur, en particulier lorsque la faillite est prononcée (ATF 123 V 12 consid. 5b, 168 consid. 2a, 121 III 382 consid. 3 bb, 386 consid. 3a). Dans ce dernier cas, la jurisprudence admet que la caisse de compensation a eu une connaissance suffisante du dommage, faisant courir le délai de prescription relatif de deux ans prévu par l’art. 52 al. 3 LAVS, lorsque l’état</w:t>
      </w:r>
    </w:p>
    <w:p>
      <w:r>
        <w:t>- 6 - de collocation est publié et qu’il en ressort qu’elle ne percevra pas l’intégralité de sa créance dans la procédure de liquidation, ou au moment de la publication de la suspension de la faillite faute d’actifs (ATF 129 V 193 consid. 2.3). En l’espèce, les recourants soutiennent donc à juste titre que le délai de prescription de deux ans prévu par l’art. 52 al. 3 LAVS a commencé à courir le 26 novembre 2010 et qu’il était échu lorsque l’intimée a rendu la décision de réparation du dommage du 28 novembre 2012. L’intimée ne soutient par ailleurs pas qu’un délai plus long prévu par le droit pénal serait applicable, ni ne produit aucune pièce dans ce sens. Le recours est donc bien fondé, sans qu’il soit nécessaire de se prononcer sur les autres griefs soulevés par les recourants.</w:t>
      </w:r>
    </w:p>
    <w:p>
      <w:r>
        <w:rPr>
          <w:b/>
        </w:rPr>
        <w:t>E. 6</w:t>
      </w:r>
    </w:p>
    <w:p>
      <w:r>
        <w:t>Vu le sort de leurs conclusions, les recourants peuvent prétendre une indemnité de dépens à la charge de l’intimée (art. 61 let. g LPGA et art. 55 LPA-VD). La procédure est par ailleurs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