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ZC12.024604 vom 14. Juli 2022</w:t>
      </w:r>
    </w:p>
    <w:p>
      <w:r>
        <w:t>VD Tribunal cantonal, 2022-07-14, FR</w:t>
      </w:r>
    </w:p>
    <w:p>
      <w:r>
        <w:rPr>
          <w:b/>
        </w:rPr>
        <w:t xml:space="preserve">Quelle: </w:t>
      </w:r>
      <w:r>
        <w:t>https://mcp.opencaselaw.ch/entscheid/vd_gerichte_ZC12.024604</w:t>
      </w:r>
    </w:p>
    <w:p>
      <w:r>
        <w:t>FR: VD_GERICHTE ZC12.024604 du 14 juillet 2022</w:t>
      </w:r>
    </w:p>
    <w:p>
      <w:r>
        <w:t>IT: VD_GERICHTE ZC12.024604 del 14 luglio 2022</w:t>
      </w:r>
    </w:p>
    <w:p>
      <w:pPr>
        <w:pStyle w:val="Heading2"/>
      </w:pPr>
      <w:r>
        <w:t>Erwägungen</w:t>
      </w:r>
    </w:p>
    <w:p>
      <w:r>
        <w:rPr>
          <w:b/>
        </w:rPr>
        <w:t>E. 3</w:t>
      </w:r>
    </w:p>
    <w:p>
      <w:r>
        <w:t>En l’espèce, la Caisse a considéré que Q.________, de nationalité brésilienne et espagnole, était, s’agissant de l’activité déployée au sein d’O.________SA, en Suisse, un salarié de N.________LLC, dont le siège est à [...], Île de Man. Compte tenu de ces éléments d’extranéité, il convient de déterminer le droit applicable. a) De l’avis de la Caisse, l’assuré n’a pas le statut de travailleur détaché de sa société brésilienne et la législation suisse trouve application. aa) La loi sur les travailleurs détachés (loi fédérale du 8 octobre 1999 sur les conditions minimales de travail et de salaire applicables aux travailleurs détachés en Suisse et sur les mesures</w:t>
      </w:r>
    </w:p>
    <w:p>
      <w:r>
        <w:t>- 9 - d’accompagnement ; RS 823.20) règle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(art. 1 al. 1 let. a), de travailler dans une filiale ou une entreprise appartenant au groupe de l’employeur (art. 1 al. 1 let. b), la notion de travailleur étant régie par le droit suisse (art. 1 al. 2). Outre qu’il ne peut être défini si l’assuré a un statut de travailleur au sein de la société qu’il a fondée au Brésil, l’absence de convention de sécurité sociale entre ce pays et la Suisse, à l’époque des faits déterminants, entraîne pour corollaire que la législation suisse serait applicable compte tenu du domicile de l’assuré en Suisse pendant la période litigieuse (art 1a al. 1 LAVS), en l’absence d’exception ressortant de l’art. 1a al. 2 LAVS. b/aa) Avant le 1er avril 2012, selon l'art. 1 al. 1 de l'Annexe II intitulée « Coordination des systèmes de sécurité sociale » de l‘ALCP (Accord sur la libre circulation des personnes entre la Communauté européenne et ses États membres d’une part, et la Suisse d’autre part ; RS 0.142.112.681), fondée sur l'art. 8 ALCP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(RS 0.831.109.208.1 ; ci-après : Règlement 1408/71), adapté selon l’Annexe II à l’ALCP. A teneur de son art. 2 par. 1, le Règlement 1408/71 s'applique en particulier aux travailleurs salariés ou non salariés qui sont ou ont été soumis à la législation d’un ou de plusieurs Etats membres et qui sont des</w:t>
      </w:r>
    </w:p>
    <w:p>
      <w:r>
        <w:t>- 10 - ressortissants de l’un des Etats membres ainsi qu’aux membres de leur famille et à leurs survivants. Quant au champ d'application matériel, il ressort de l'art. 4 par. 1 let. c et d du Règlement 1408/71, lequel est applicable à toutes les législations relatives aux branches de sécurité sociale qui concernent les prestations de vieillesse et survivants, ce qui est manifestement le cas de l'assurance-vieillesse et survivants suisse. A teneur de l'art. 13 par. 1 du Règlement 1408/71, sous réserve des art. 14quater et 14septies, les personnes auxquelles ledit règlement est applicable ne sont soumises qu’à la législation d’un seul État membre. Cet article pose le principe de l'unicité de la législation applicable. A teneur de l'art. 13 par. 2 let. a du Règlement 1408/71, et sous réserve de ses articles 14 à 17,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Cet article pose le principe d'assujettissement principal du Règlement 1408/71, à savoir celui du pays d'emploi (lex loci laboris). Ce principe connaît plusieurs exceptions listées tant par l'art. 13 lui-même (cf. par. 2 let. b à f) que par les articles 14 à 17 de ce règlement. Aux termes de l’art. 14 par. 1 let. a du Règlement 1408/71, la personne qui exerce une activité salariée sur le territoire d’un Etat membre au service d’une entreprise dont elle relève normalement et qui est détachée par cette entreprise sur le territoire d’un autre Etat membre afin d’y effectuer un travail pour le compte de celle-ci, demeure soumise à la législation du premier Etat membre, à condition que la durée prévisible de ce travail n’excède pas douze mois et qu’elle ne soit pas envoyée en remplacement d’une autre personne parvenue au terme de la période de son détachement.</w:t>
      </w:r>
    </w:p>
    <w:p>
      <w:r>
        <w:t>- 11 - Aux termes de l’art. 14bis par. 1 let. a du Règlement 1408/71, la personne qui exerce normalement une activité non salariée sur le territoire d’un Etat membre et qui effectue un travail sur le territoire d’un autre Etat membre demeure soumise à la législation du premier Etat membre, à condition que la durée prévisible de ce travail n’excède pas douze mois. bb) En l’occurrence, si la durée de travail de Q.________ en Suisse est inférieure à douze mois, il apparait qu’il n’a jamais exercé une activité, salariée ou non, sur le territoire de l’Île de Man ou de tout autre pays membre de l’ALCP. Il est venu en effet directement du Brésil. A cela s’ajoute que ne figure pas au dossier de document attestant de l’affiliation de l’assuré à une institution officielle étrangère d’assurance-vieillesse et survivants dans un pays membre de l’ALCP. cc) Le droit suisse est donc applicable.</w:t>
      </w:r>
    </w:p>
    <w:p>
      <w:r>
        <w:rPr>
          <w:b/>
        </w:rPr>
        <w:t>E. 4</w:t>
      </w:r>
    </w:p>
    <w:p>
      <w:r>
        <w:t>a) Chez une personne qui exerce une activité lucrative, l’obligation de payer des cotisations dépend, notamment, de la qualification de cette activité comme salariée ou indépendante (art. 3, 5 et</w:t>
      </w:r>
    </w:p>
    <w:p>
      <w:r>
        <w:rPr>
          <w:b/>
        </w:rPr>
        <w:t>E. 9</w:t>
      </w:r>
    </w:p>
    <w:p>
      <w:r>
        <w:t>LAVS ; art. 6 ss RAVS [règlement du 31 octobre 1947 sur l’assurance- 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w:t>
      </w:r>
    </w:p>
    <w:p>
      <w:r>
        <w:t>- 12 - c) Le point de savoir si l’on a affaire, dans un cas donné, à une activité indépendante ou salariée au sens des dispositions mentionnées ci- 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précité consid. 3.2 ; TF 9C_460/2015 du 18 novembre 2015 consid. 3.2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w:t>
      </w:r>
    </w:p>
    <w:p>
      <w:r>
        <w:t>- 13 -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En règle générale, on est en présence d'une activité lucrative indépendante lorsque la personne tenue de payer des cotisations participe aux échanges économiques en mettant en œuvre son travail et son capital dans le cadre d'une organisation autonome librement déterminée et visible de l'extérieur, dans le but de fournir des prestations de services ou de créer des produits dont l'utilisation ou l'acquisition est indemnisée par des contre-prestations financières ou pécuniaires. Dans ce sens, les spécialistes auxquels il est fait appel une fois ou de manière répétée en tant que conseillers pour résoudre des problèmes spécifiques à un domaine ou à une organisation, sans être clairement liés par un rapport de travail avec le mandant, sont régulièrement considérés comme des personnes exerçant une activité indépendante. Comme cette activité de service typique ne nécessite souvent pas d'investissements particuliers, le risque d'entrepreneur passe au second plan en tant que l'un des critères</w:t>
      </w:r>
    </w:p>
    <w:p>
      <w:r>
        <w:t>- 14 - de distinction pour délimiter l'activité lucrative indépendante de l'activité lucrative dépendante. En revanche, la question de la dépendance en matière de gestion d'entreprise et d'organisation du travail prend plus d'importance. Une position indépendante est souvent indispensable pour que les objectifs liés à l'activité de conseiller puissent être atteints. L'activité de conseil exige, de par sa nature, le plus souvent l'indépendance par rapport à l'entreprise conseillée. Les conseillers d'entreprise sont donc régulièrement considérés comme des indépendants dans la mesure où il n'existe pas de rapport de dépendance évident dans l'organisation du travail (TF 9C_589/2019 du 2 mars 2020, consid. 3.3 et les références citées). L’application des règles destinées à délimiter une activité lucrative dépendante d’une activité indépendante pour les collaborateurs travaillant dans le secteur de l’informatique conduit généralement à admettre l’existence d’une activité lucrative dépendante, à moins que l’ensemble des circonstances du cas particulier ne parle en faveur d’une activité indépendante. Ces collaborateurs peuvent être qualifiés de personnes exerçant une activité salariée lorsqu’ils n’ont pas à supporter eux-mêmes le risque d’exploitation et lorsqu’ils ne jouissent pas non plus d’une autonomie dans l’organisation du travail. La jurisprudence a de même considéré que le caractère d’une activité dépendante était donné chez un collaborateur qui ne pouvait notamment utiliser que du personnel de l’entreprise qui était engagé à temps ferme, qui devait exercer son activité au siège de l’entreprise, se soumettre à ses méthodes d’analyse et de programmation, à un contrôle des délais et fréquenter des cours dont l’entreprise assurait les frais. On pourra en revanche reconnaître l’existence d’une activité indépendante lorsque l’informaticien court un risque d’entrepreneur et qu’il n’y a pas de rapport de subordination ente celui-ci et son mandant du point de vue de l’organisation du travail ou encore, lorsque, dans de telles circonstances, il a effectué des investissements importants ou travaillé également pour d’autres mandats (cf. Michel Valterio, Droit de l’assurance-vieillesse et survivants [AVS] et de l’assurance-invalidité [AI], Zurich 2011, n. 288, p. 91).</w:t>
      </w:r>
    </w:p>
    <w:p>
      <w:r>
        <w:t>- 15 - 5. a) En l’espèce, Q.________ est consultant SAP (SAP pour systèmes, applications et produits de traitement des données). Il s’agit d’une activité de conseils aux entreprises appliquant cette technologie et de suivi lors de l’installation, l’intégration et la modification des systèmes SAP. Le travail principal du conseiller SAP constitue à effectuer l’analyse fonctionnelle et la customisation de SAP selon les exigences de l’entreprise. Le consultant SAP travaille pour les sociétés de conseil informatique spécialisées dans l'implémentation de solutions SAP pour les entreprises ou comme conseiller indépendant (extrait de https://fr.jobted.com/fiche-m%C3%A9tier/consultant-sap, auquel il est renvoyé s’agissant du descriptif de ce métier). b) Il s’agit donc d’une activité de services, n’impliquant pas des investissements matériels importants, ni l’engagement de personnel, à tout le moins dans le cas d’espèce, au vu des spécificités du métier de consultant SAP. Il n’en demeure pas moins que l’assuré supporte un risque d’entrepreneur. En particulier, il ressort du questionnaire d’affiliation du 18 mai 2011 qu’il recherche des mandats lui permettant d’exercer sa profession, soit en contactant directement des clients, soit en s’adressant à des entreprises pour obtenir un mandat, comme en l’occurrence à N.________LLC. Il aurait notamment exercé son activité pour la société M.________ au [...]. Les absences pour empêchement non fautif, comme la maladie, ne sont pas rémunérées, à l’inverse de ce qui est usuel dans le cadre d’un contrat de travail. L’assuré a créé une société active dans le domaine de l’informatique et a sa propre comptabilité. c) Etant rappelé que le risque économique de l’entrepreneur n’est pas à lui seul déterminant, il convient d’examiner la nature et l’étendue de la dépendance économique et organisationnelle à l’égard du mandant ou de l’employeur. L’intimée concède que l’assuré était libre d’accepter ou refuser le mandat d’O.________SA. En revanche, elle observe que l’assuré a accepté d’effectuer pour le compte de N.________LLC toutes les obligations découlant du contrat et qu’il a été incorporé dans l’organisation de travail</w:t>
      </w:r>
    </w:p>
    <w:p>
      <w:r>
        <w:t>- 16 - de la société mandante O.________SA. Elle se réfère également aux rapports mensuels de présence, attestant d’un temps de travail journalier et régulier de 8,5 heures par jour, et allègue l’existence d’une activité exercée de manière suivie, dont l’assuré devait au demeurant rendre compte à N.________LLC lorsque la responsabilité de celle-ci était engagée. Sur la base de ces éléments, la Caisse considère qu’il existe un rapport de subordination et réfute tout risque économique dans la mesure où l’assuré percevait son salaire de N.________LLC, après déduction d’une commission. 6. a) En l’occurrence, cette question n’aura pas lieu d’être examinée plus avant. En effet, il apparaît que Q.________ n’exerce pas en tant que consultant de N.________LLC et que les relations contractuelles doivent être analysées dans un contexte de relation tripartite (TFA H 7/03 du 30 avril 2002 consid. 3.2 ; TF 9C_589/2019 du 2 mars 2020 consid. 4.2). Dans une telle constellation, tant la partie qui fournit le service intermédiaire que celle qui l'utilise (entreprise cliente) entrent en ligne de compte en tant qu'employeurs potentiels soumis à l'obligation de cotiser. Pour déterminer si et à qui revient la qualité d'employeur au sens de l'AVS en ce qui concerne les rémunérations versées à la personne physique, il faut d'abord identifier dans laquelle des relations contractuelles se produisent les faits déterminants pour le statut de cotisant AVS. Selon les rapports économiques déterminants à cet égard, c'est la prestation de service ou de travail dont la contrepartie (la rémunération versée à l'intermédiaire) constitue l'objet de la cotisation qui est déterminante Cette relation tripartie se caractérise en l’occurrence par le fait que N.________LLC a recherché et trouvé pour l’assuré une entreprise qui avait temporairement besoin des services d'un conseiller externe compétent pour résoudre des problèmes informatiques, en l’occurrence du système SAP. Un cahier des charges liant N.________LLC et O.________SA définit le cadre de la mission concernant l’assuré en sa qualité de consultant informatique. Celui-ci ne perçoit pas la rémunération due directement de l’entreprise de mission qu’est O.________SA, mais de l’entreprise intermédiaire, en l'occurrence N.________LLC, qui encaisse la rémunération</w:t>
      </w:r>
    </w:p>
    <w:p>
      <w:r>
        <w:t>- 17 - convenue au terme de la chaîne contractuelle avec R.________SA et S.________SA, et la reverse, après déduction de sa propre commission, au consultant. b) En l’espèce, l'origine économique des rémunérations n'est pas à chercher dans les relations contractuelles entre N.________LLC et l’assuré, mais dans le fait que celui-ci a effectivement fourni, en tant que consultant, les prestations requises par O.________SA. Il n’existe donc ni subordination professionnelle, ni subordination administrative à N.________LLC, dont la tâche se limite principalement à la recherche de talents et à l’acquisition de mandats en leur faveur. De même, le fait que la rémunération ne soit pas directement versée à l’assuré par O.________SA, mais par N.________LLC n'exprime pas non plus une subordination hiérarchique. Le versement en ses mains a plutôt pour objectif de lui garantir le produit de ses commissions. De même, la remise des décomptes d’heures ne sert pas d'instrument de surveillance du contenu du travail fourni, mais de contrôle du volume d'activité respectif comme base de facturation. N.________LLC n'entre donc pas en ligne de compte en tant qu'employeur soumis à l'obligation de cotiser. c) Par ailleurs, dans le système de cotisation de l'AVS, le principe de la perception des cotisations à la source s'applique, ce qui signifie que seul l'employeur est tenu de payer les cotisations paritaires et, en principe, lui seul peut être poursuivi par la caisse de compensation. La base légale prévoit explicitement que tous les employeurs qui ont un établissement stable en Suisse sont tenus de payer des cotisations (art. 12 al. 2 LAVS). Il est donc clair qu'il ne peut y avoir plus d'un débiteur (de cotisations) et que l'obligation de cotiser incombe exclusivement à l'employeur (ATF 147 V 174 consid. 6.1 et 6.3). Ainsi, dans l’hypothèse où l’assuré devait se voir reconnaître le statut de salarié de N.________LLC, celle-ci ne pourrait se voir recherchée pour le paiement des cotisations. En effet, N.________LLC n’a pas qualité d’établissement stable. Elle a son siège à l’Ile de Man, n’a ni filiale, ni</w:t>
      </w:r>
    </w:p>
    <w:p>
      <w:r>
        <w:t>- 18 - succursale en Suisse et, au vu des pièces au dossier, ne dispose d’aucune installation permanente en Suisse. d) Pour le surplus, l’appréciation du statut de salarié ou d’indépendant de Q.________ à l’égard d’O.________SA s’avère en l’état exclue, d’une part, parce que les pièces au dossier ne suffisent pas, l’audition, indispensable, de l’intéressé n’ayant pu avoir lieu en l’absence de retour en Suisse, et, d’autre part, parce que la qualité d’employeur de cette société par rapport à l’assuré n’a jamais été prétendue dans la procédure administrative, ni dans la décision sur opposition, de telle sorte que son examen excéderait l’objet du litige. 7. a) Au vu de ce qui précède, le recours doit être admis et la décision sur opposition du 22 mai 2012 annulée. b) Il n’y a pas lieu de percevoir de frais judiciaires (art. 61 let. a LPGA dans sa teneur en vigueur jusqu’au 31 décembre 2020, applicable conformément à l’art. 82a LPGA). c) Vu le sort de leurs conclusions, les parties recourantes ont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 Par ces motifs, la juge unique p r o n o n c e : I. Le recours est admis.</w:t>
      </w:r>
    </w:p>
    <w:p>
      <w:r>
        <w:t>- 19 - II. La décision sur opposition rendue le 22 mai 2012 par la Caisse AVS 22.132, agence d’assurances sociales de la ville de Lausanne, est annulée. III. La Caisse AVS 22.132, agence d’assurances sociales de la ville de Lausanne, versera à S.________SA et N.________LLC la somme de 1'000 fr. (mille francs) à titre de dépens. IV. Il n’est pas perçu de frais judiciaires. La juge unique : La greffière : Du L'arrêt qui précède est notifié à : - Me L.________ (pour S.________SA et N.________LLC), - la Caisse AVS 22.132, agence d’assurances sociales de la ville de Lausanne,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