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ZC12.015140 vom 24. April 2013</w:t>
      </w:r>
    </w:p>
    <w:p>
      <w:r>
        <w:t>VD Tribunal cantonal, 2013-04-24, FR</w:t>
      </w:r>
    </w:p>
    <w:p>
      <w:r>
        <w:rPr>
          <w:b/>
        </w:rPr>
        <w:t xml:space="preserve">Quelle: </w:t>
      </w:r>
      <w:r>
        <w:t>https://mcp.opencaselaw.ch/entscheid/vd_gerichte_ZC12.015140</w:t>
      </w:r>
    </w:p>
    <w:p>
      <w:r>
        <w:t>FR: VD_GERICHTE ZC12.015140 du 24 avril 2013</w:t>
      </w:r>
    </w:p>
    <w:p>
      <w:r>
        <w:t>IT: VD_GERICHTE ZC12.015140 del 24 aprile 2013</w:t>
      </w:r>
    </w:p>
    <w:p>
      <w:pPr>
        <w:pStyle w:val="Heading2"/>
      </w:pPr>
      <w:r>
        <w:t>Erwägungen</w:t>
      </w:r>
    </w:p>
    <w:p>
      <w:r>
        <w:rPr>
          <w:b/>
        </w:rPr>
        <w:t>E. 1</w:t>
      </w:r>
    </w:p>
    <w:p>
      <w:r>
        <w:t>Les dispositions de la LPGA (loi fédérale du 6 octobre 2000 sur la partie générale du droit des assurances sociales; RS 830.1) s’appliquent à I’AVS à moins que la LAVS (loi fédérale du 20 décembre 1946 sur l’assurance-vieillesse et survivants; RS 831.10) ne déroge expressément à la LPGA (art. 1 al. 1 LAVS). Selon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le recours étant dirigé contre une décision sur opposition rendue par la Caisse cantonale vaudoise de compensation AVS, la Cour de céans est compétente. Le recours a été formé en temps utile (art. 60 al. 1 LPGA) et dans le respect des formalités prévues pas la loi (art. 61 let. b LPGA notamment), de sorte qu'il est recevable.</w:t>
      </w:r>
    </w:p>
    <w:p>
      <w:r>
        <w:rPr>
          <w:b/>
        </w:rPr>
        <w:t>E. 2</w:t>
      </w:r>
    </w:p>
    <w:p>
      <w:r>
        <w:t>Le litige porte sur la question de savoir si l'activité du recourant pour le compte de Q.________ doit être qualifiée de dépendante ou d’indépendante. Le statut d’indépendant du recourant dans le cadre de son activité dans le domaine informatique et pour celle de fleuriste dans son atelier à A.________ et sur internet n’est quant à lui pas litigieux.</w:t>
      </w:r>
    </w:p>
    <w:p>
      <w:r>
        <w:rPr>
          <w:b/>
        </w:rPr>
        <w:t>E. 3</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RAVS [règlement fédéral du 31 octobre 1947 sur l'assurance-vieillesse et survivants, RS 831.101]). Selon l'art. 5 al. 2 LAVS, on considère comme salaire déterminant toute rétribution pour un travail dépendant effectué dans un temps déterminé ou indéterminé; quant au revenu provenant d'une activité indépendante, il comprend tout revenu du travail autre que la</w:t>
      </w:r>
    </w:p>
    <w:p>
      <w:r>
        <w:t>- 9 - rémunération pour un travail accompli dans une situation dépendante (art. 9 al. 1 LAVS).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p. 162; 122 V 169 consid. 3a p. 171, 281 consid. 2a p. 283; 119 V 161 consid. 2 et les références; TF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p. 78 sv.). En outre, la possibilité pour le travailleur</w:t>
      </w:r>
    </w:p>
    <w:p>
      <w:r>
        <w:t>- 10 - d’organiser son horaire de travail ne signifie pas nécessairement qu’il s’agit d’une activité indépendante (ATF 122 V 172 consid. 3c; TFA H 334/03 du 10 janvier 2005, consid. 6.2.1). b)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113 V 17 spéc. p. 21; 110 V 263 spéc. p. 267 sv; 107 V 153 consid. 2b; voir aussi ATF 117 lb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encouru par l'entrepreneur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citées).</w:t>
      </w:r>
    </w:p>
    <w:p>
      <w:r>
        <w:t>- 11 - Quant au rapport social de dépendance économique, respectivement dans l'organisation du travail, du salarié, il se manifeste notamment par l'existence (ch. 1015 DSD): -d'un droit de donner des instructions au salarié; -d'un rapport de subordination; -de l'obligation de remplir la tâche personnellement; -d'une prohibition de faire concurrence; -d'un devoir de présence.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H 19/06 du 14 février 2007 précité, consid.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w:t>
      </w:r>
    </w:p>
    <w:p>
      <w:r>
        <w:t>- 12 -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En outre,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consid. 2 p. 89; TFA H 169/04 du 21 avril 2005 consid. 4.4; Gustavo Scartazzini, in: Greber/Duc/Scartazzini, Commentaire des art. 1 à 16 de la Loi fédérale sur l'assurance-vieillesse et survivants [LAVS], 1996, n. 134 ss ad art. 5; Hans- Peter Käser, Unterstellung und Beitragswesen in der obligatorischen AHV, 2ème éd., ch. 4.51).</w:t>
      </w:r>
    </w:p>
    <w:p>
      <w:r>
        <w:rPr>
          <w:b/>
        </w:rPr>
        <w:t>E. 4</w:t>
      </w:r>
    </w:p>
    <w:p>
      <w:r>
        <w:t>En l'espèce, comme le retient la caisse intimée, le statut d'indépendant ne saurait être reconnu à X.________ pour son activité au service de Q.________. En effet, il ressort des pièces versées au dossier que l'intéressé travaille dans les locaux loués par Q.________. C’est bien Q.________ qui lui donne du travail, cette dernière ayant expliqué qu’elle recherchait un(e) fleuriste lorsque l’offre spontanée du recourant lui était parvenue. Elle et le recourant ont convenu d’une rémunération horaire, le recourant venant à la demande effectuer les heures dont elle a besoin, sur appel. Ces éléments consacrent un rapport de dépendance du recourant à l’égard de Q.________.</w:t>
      </w:r>
    </w:p>
    <w:p>
      <w:r>
        <w:t>- 13 - Il ressort en outre des pièces produites que le recourant ne facture pas aux clients, mais bien à Q.________, n’agissant dès lors pas en son nom propre et pour son propre compte, sans assumer de risque d’encaissement à l’égard des clients de la boutique de Q.________. Il apparaît encore que le recourant a perçu le montant de 16'900 fr. en 2011 de la part de Q.________, et de 10'551 fr. pour les mois de janvier, février, avril, mai et juin 2012. Dans la mesure où le recourant a annoncé qu’il espérait réaliser un revenu annuel de 20'000 fr. pour son activité d’informaticien et de fleuriste, il apparaît qu’il tire l’essentiel de ses revenus des travaux qu’il effectue pour le compte de Q.________. Les factures produites mettent en évidence une collaboration régulière de cette dernière et du recourant, attestant du lien de dépendance économique de l’intéressé à l’égard de Q.________. Il est en outre constant que la possibilité pour le travailleur d’organiser son horaire de travail ne signifie pas nécessairement qu’il s’agit d’une activité indépendante. A cela s’ajoute que quand bien même le recourant affirme qu’il est libre de refuser un "mandat" de Q.________, il ressort plutôt des déterminations de cette dernière qu’il répond présent lorsqu’elle le contacte, celle-ci faisant état de la disponibilité et de la flexibilité de l’assuré. Quoi qu’il en soit, le seul fait de pouvoir refuser une "prestation" en faveur de Q.________ ne permet pas d’exclure que le recourant soit lié à cette dernière par un contrat de travail: ainsi le travail à temps partiel improprement dit suppose un accord des parties pour chaque intervention (cf. ATF 124 III 249 et 125 III 65), mais n’en demeure pas moins soumis aux dispositions sur le contrat de travail, le droit du contrat de travail autorisant à convenir de temps de travail très souples (déterminés par une seule partie ou les deux) (cf. ATF 122 V 169), étant néanmoins rappelé que la notion de travail déterminant se définit exclusivement d’après le droit de l’AVS, le rapport de droit civil, s’il peut certes fournir quelques indices pour la qualification en matière d’AVS, n’étant pas décisif. Au vu de l'ensemble des éléments qui précèdent, il y a lieu de considérer que la caisse intimée n’a pas violé le droit fédéral en refusant le statut d’indépendant à X.________ pour l’activité qu’il déploie au service Q.________.</w:t>
      </w:r>
    </w:p>
    <w:p>
      <w:r>
        <w:t>- 14 -</w:t>
      </w:r>
    </w:p>
    <w:p>
      <w:r>
        <w:rPr>
          <w:b/>
        </w:rPr>
        <w:t>E. 5</w:t>
      </w:r>
    </w:p>
    <w:p>
      <w:r>
        <w:t>Par conséquent, le dossier étant complet, permettant ainsi à la Cour de céans de statuer en pleine connaissance de cause, il n'y a pas lieu de fixer une audience.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w:t>
      </w:r>
    </w:p>
    <w:p>
      <w:r>
        <w:rPr>
          <w:b/>
        </w:rPr>
        <w:t>E. 6</w:t>
      </w:r>
    </w:p>
    <w:p>
      <w:r>
        <w:t>Il s'ensuit que le recours, mal fondé, doit être rejeté, ce qui entraîne la confirmation de la décision querellée. La procédure de recours est gratuite (art. 61 let. a LPGA). Il n'y a pas lieu d'allouer des dépens au recourant, qui succombe (art. 61 let. g LPGA; art. 55 al. 1 LPA-VD).</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