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ZC11.018807 vom 27. Dezember 2012</w:t>
      </w:r>
    </w:p>
    <w:p>
      <w:r>
        <w:t>VD Tribunal cantonal, 2012-12-27, FR</w:t>
      </w:r>
    </w:p>
    <w:p>
      <w:r>
        <w:rPr>
          <w:b/>
        </w:rPr>
        <w:t xml:space="preserve">Quelle: </w:t>
      </w:r>
      <w:r>
        <w:t>https://mcp.opencaselaw.ch/entscheid/vd_gerichte_ZC11.018807</w:t>
      </w:r>
    </w:p>
    <w:p>
      <w:r>
        <w:t>FR: VD_GERICHTE ZC11.018807 du 27 décembre 2012</w:t>
      </w:r>
    </w:p>
    <w:p>
      <w:r>
        <w:t>IT: VD_GERICHTE ZC11.018807 del 27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rôle des partenaires - Le Partenaire traite toutes ses affaires d’assurance exclusivement avec F.________ SA; il s’agira de la conclusion de contrats d’assurances et de mandats au nom d’F.________ SA portant sur le suivi et la gestion de portefeuilles d’assurances, - des exceptions peuvent être prévues, d’entente entre les parties, notamment en ce qui concerne la LPP, - F.________ SA assume le suivi et la gestion des portefeuilles d’assurances, - Le Partenaire développe de son côté des affaires dans son domaine de compétence, principalement l’actuariat, et dans tous autres domaines de son choix en dehors de l’assurance.</w:t>
      </w:r>
    </w:p>
    <w:p>
      <w:r>
        <w:rPr>
          <w:b/>
        </w:rPr>
        <w:t>E. 2</w:t>
      </w:r>
    </w:p>
    <w:p>
      <w:r>
        <w:t>Le statut du Partenaire - Le Partenaire est indépendant, et inscrit comme tel auprès de I’AVS,</w:t>
      </w:r>
    </w:p>
    <w:p>
      <w:r>
        <w:t>- 3 - - par conséquent la relation avec F.________ SA n’est pas un contrat de travail, elle est uniquement basée sur un commissionnement découlant des contrats d’assurances et des mandats qu’il aura fait signer à sa clientèle.</w:t>
      </w:r>
    </w:p>
    <w:p>
      <w:r>
        <w:rPr>
          <w:b/>
        </w:rPr>
        <w:t>E. 3</w:t>
      </w:r>
    </w:p>
    <w:p>
      <w:r>
        <w:t>Le profil des clients cédés à F.________ SA - pour permettre une rentabilité satisfaisante pour les deux parties, les affaires visées correspondent à un mandat de gestion portant sur des contrats d’assurance d’entreprise dont le volume se situe aux environs de CHF 100'000.00 de primes commissionnables, hors LPP; d’autres affaires en dessous de cette norme sont envisageables, pour autant que l’on puisse en attendre raisonnablement une marge suffisante, - par défaut, les "affaires de masse" sont placées auprès de M.________ à travers [...].</w:t>
      </w:r>
    </w:p>
    <w:p>
      <w:r>
        <w:rPr>
          <w:b/>
        </w:rPr>
        <w:t>E. 4</w:t>
      </w:r>
    </w:p>
    <w:p>
      <w:r>
        <w:t>Commissionnement F.________ SA verse au Partenaire la part de commission qui lui revient dans le mois qui suit celui de l’encaissement; le taux de répartition des commissions entre F.________ SA et le Partenaire est fixé dans l’Annexe I. […]</w:t>
      </w:r>
    </w:p>
    <w:p>
      <w:r>
        <w:rPr>
          <w:b/>
        </w:rPr>
        <w:t>E. 6</w:t>
      </w:r>
    </w:p>
    <w:p>
      <w:r>
        <w:t>La procédure étant gratuite (art. 61 let. a LPGA), il n'y a pas lieu de percevoir de frais judiciaires. Vu l'issue du litige, le recourant n'a pas droit à l'octroi de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