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ZC09.030638 vom 16. Februar 2011</w:t>
      </w:r>
    </w:p>
    <w:p>
      <w:r>
        <w:t>VD Tribunal cantonal, 2011-02-16, FR</w:t>
      </w:r>
    </w:p>
    <w:p>
      <w:r>
        <w:rPr>
          <w:b/>
        </w:rPr>
        <w:t xml:space="preserve">Quelle: </w:t>
      </w:r>
      <w:r>
        <w:t>https://mcp.opencaselaw.ch/entscheid/vd_gerichte_ZC09.030638</w:t>
      </w:r>
    </w:p>
    <w:p>
      <w:r>
        <w:t>FR: VD_GERICHTE ZC09.030638 du 16 février 2011</w:t>
      </w:r>
    </w:p>
    <w:p>
      <w:r>
        <w:t>IT: VD_GERICHTE ZC09.030638 del 16 febbraio 2011</w:t>
      </w:r>
    </w:p>
    <w:p>
      <w:pPr>
        <w:pStyle w:val="Heading2"/>
      </w:pPr>
      <w:r>
        <w:t>Erwägungen</w:t>
      </w:r>
    </w:p>
    <w:p>
      <w:r>
        <w:rPr>
          <w:b/>
        </w:rPr>
        <w:t>E. 1</w:t>
      </w:r>
    </w:p>
    <w:p>
      <w:r>
        <w:t>a) Les dispositions de la loi fédérale du 6 octobre 2000 sur la partie générale des assurances sociales (LPGA; RS 830.1) s'appliquent à l'AVS (art. 1 LAVS).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al. 1 let. a LPA-VD). c) Les conditions de recevabilité du recours sont en l'espèce manifestement remplies et il y a lieu d'entrer en matière.</w:t>
      </w:r>
    </w:p>
    <w:p>
      <w:r>
        <w:rPr>
          <w:b/>
        </w:rPr>
        <w:t>E. 2</w:t>
      </w:r>
    </w:p>
    <w:p>
      <w:r>
        <w:t>Dans sa réponse du 12 octobre 2009, l'intimée a requis que P.________ soit invité à participer à la présente procédure en se référant sur ce point à la jurisprudence du Tribunal fédéral (ATF 134 V 306). Cette jurisprudence exige que l'on invite les autres administrateurs tenus pour responsables du dommage à participer à la procédure, de manière à leur</w:t>
      </w:r>
    </w:p>
    <w:p>
      <w:r>
        <w:t>- 6 - permettre de sauvegarder leurs droits. Ils risquent en effet de voir leur situation péjorée en cas d'admission du recours, puisqu'ils perdent un codébiteur solidaire. En l'occurrence, vu le sort du recours, les droits des autres administrateurs ne sont pas mis en péril, de sorte que l'on peut renoncer à les appeler en cause.</w:t>
      </w:r>
    </w:p>
    <w:p>
      <w:r>
        <w:rPr>
          <w:b/>
        </w:rPr>
        <w:t>E. 3</w:t>
      </w:r>
    </w:p>
    <w:p>
      <w:r>
        <w:t>Sur le fond, le recourant prétend que les conditions de la responsabilité, selon l'art 52 LAVS ne sont pas réalisées en l'espèce. 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impose à l'employeur de verser périodiquement à la caisse de compensation les cotisations perçues sur le revenu provenant de l'exercice d'une activité dépendante, cotisations qui sont retenues lors de chaque paie, et la cotisation de l'employeur (cf. ATF 132 III consid. 4.4). Il n'est pas contesté que des cotisations dues n'ont pas été payées, pendant la période litigieuse, et partant que l'assurance – soit la caisse de compensation intimée – a subi un dommage.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([loi fédérale du 30 mars 1911 complétant le code civil suisse (Livre cinquième: Droit des obligations), RS 220]; "responsabilité à l'égard de la société, des actionnaires et créanciers sociaux, des membres du conseil d'administration et toutes les personnes qui s'occupent de la gestion et de la liquidation"). La responsabilité incombe donc non seulement aux administrateurs, mais aussi aux organes de fait, à savoir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w:t>
      </w:r>
    </w:p>
    <w:p>
      <w:r>
        <w:t>- 7 - un dommage ou de l'empêcher, en d'autres termes qu'elle ait exercé effectivement une influence sur la marche des affaires de la société (ATF 132 II 523 consid. 4.5 et les arrêts cités). c) Pour que l'organe, formel ou de fait,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causé. La négligence grave est admise très largement par la jurisprudence. S'en rend coupable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estime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w:t>
      </w:r>
    </w:p>
    <w:p>
      <w:r>
        <w:rPr>
          <w:b/>
        </w:rPr>
        <w:t>E. 4</w:t>
      </w:r>
    </w:p>
    <w:p>
      <w:r>
        <w:t>Vu ce qui précède, le recours est rejeté, ce qui entraîne la confirmation de la décision attaquée.</w:t>
      </w:r>
    </w:p>
    <w:p>
      <w:r>
        <w:t>- 11 - Il n'y a pas lieu de percevoir de frais de justice, la procédure de recours étant gratuite (art. 61 let. a LPGA), ni d'allouer de dépens au recourant, qui succombe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