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ZC09.007633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https://mcp.opencaselaw.ch/entscheid/vd_gerichte_ZC09.007633</w:t>
      </w:r>
    </w:p>
    <w:p>
      <w:r>
        <w:t>FR: VD_GERICHTE ZC09.007633 du 19 octobre 2010</w:t>
      </w:r>
    </w:p>
    <w:p>
      <w:r>
        <w:t>IT: VD_GERICHTE ZC09.007633 del 19 ottobre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s'ensuit que le recours doit être partiellement admis et la décision attaquée réformée en ce sens que, dès le 1er juillet 2009, la retenue mensuelle s’élève à 353 fr., la décision étant maintenue pour le surplus.</w:t>
      </w:r>
    </w:p>
    <w:p>
      <w:r>
        <w:t>- 11 - Dès lors que la décision litigieuse est réformée en raison de faits postérieurs à son établissement – et dont il est tenu compte par souci d’économie de procédure – il n’y a pas lieu à allocation de dépens (TF 9C_967/2009 du 2 juin 2010, consid. 5). Il n'est pas perçu de frais de justice (art. 61 let. 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