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ZC09.001027 vom 17. Dezember 2009</w:t>
      </w:r>
    </w:p>
    <w:p>
      <w:r>
        <w:t>VD Tribunal cantonal, 2009-12-17, FR</w:t>
      </w:r>
    </w:p>
    <w:p>
      <w:r>
        <w:rPr>
          <w:b/>
        </w:rPr>
        <w:t xml:space="preserve">Quelle: </w:t>
      </w:r>
      <w:r>
        <w:t>https://mcp.opencaselaw.ch/entscheid/vd_gerichte_ZC09.001027</w:t>
      </w:r>
    </w:p>
    <w:p>
      <w:r>
        <w:t>FR: VD_GERICHTE ZC09.001027 du 17 décembre 2009</w:t>
      </w:r>
    </w:p>
    <w:p>
      <w:r>
        <w:t>IT: VD_GERICHTE ZC09.001027 del 17 dicembre 2009</w:t>
      </w:r>
    </w:p>
    <w:p>
      <w:pPr>
        <w:pStyle w:val="Heading2"/>
      </w:pPr>
      <w:r>
        <w:t>Erwägungen</w:t>
      </w:r>
    </w:p>
    <w:p>
      <w:r>
        <w:rPr>
          <w:b/>
        </w:rPr>
        <w:t>E. 1</w:t>
      </w:r>
    </w:p>
    <w:p>
      <w:r>
        <w:t>let. a LPA-VD [loi cantonale vaudoise sur la procédure administrative du 28 octobre 2008, RSV 173.36]).</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w:t>
      </w:r>
    </w:p>
    <w:p>
      <w:r>
        <w:t>- 13 - b) Est litigieuse en l'espèce la responsabilité du recourant dans le dommage subi par l'intimée en raison du non-paiement par la société A.________ SA des cotisations paritaires dues pour les périodes 2004 et 2005.</w:t>
      </w:r>
    </w:p>
    <w:p>
      <w:r>
        <w:rPr>
          <w:b/>
        </w:rPr>
        <w:t>E. 3</w:t>
      </w:r>
    </w:p>
    <w:p>
      <w:r>
        <w:t>a) A teneur de l'art. 52 al. 1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et les références). Dans le cas d'une société anonyme, la notion d'organe responsable selon l'art. 52 LAVS est en principe identique à celle qui résulte de l'art. 754 al. 1 CO. La responsabilité incombe ainsi non seulement aux membres du conseil d'administration, mais également aux organes de fait, soit à toutes les personnes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132 III 523, consid. 4.5 et les références; cf. également arrêt 9C_859/2007 du 16 décembre 2008, consid. 2.1). Aux termes de l'art. 14 al. 1 LAVS, en corrélation avec les art. 34 ss RAVS (règlement fédéral du 31 octobre 1947 sur l'assurance- vieillesse et survivants, RS 831.101),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w:t>
      </w:r>
    </w:p>
    <w:p>
      <w:r>
        <w:t>- 14 - de l'accomplir enfreint les prescriptions au sens de l'art. 52 al. 1 LAVS et peut être tenu, par conséquent, de réparer la totalité du dommage ainsi occasionné (ATF 132 III 523 précité, consid. 4.4 et les références; arrêt 9C_859/2007 précité, consid. 2.2). b) Selon la jurisprudence, se rend coupable d'une négligence grave au sens de l'art. 52 al. 1 LAVS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(arrêt H 25/05 du 12 octobre 2005, consid. 3.1 et les références).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ainsi des responsabilités et des compétences qui lui ont été confiées par l'entreprise (arrêt 9C_859/2007 précité, consid. 2.3 et la référence). Cela étant, s'agissant spécifiquement d'un membre du conseil d'administration et nonobstant le mode de répartition interne des tâches au sein dudit conseil, il incombe à chaque administrateur de veiller personnellement à ce que les salaires soient régulièrement déclarés à la caisse, respectivement à ce que les cotisations paritaires y afférentes soient effectivement versées. Un administrateur ne peut se libérer de cette responsabilité en soutenant qu'il faisait confiance à un collègue chargé de l'administration et du versement des cotisations à la caisse de compensation; il a au contraire le devoir d'exercer la haute surveillance sur les personnes chargées de la gestion pour s'assurer notamment</w:t>
      </w:r>
    </w:p>
    <w:p>
      <w:r>
        <w:t>- 15 - qu'elles observent la loi, les statuts, les règlements et les instructions données (cf. art. 716 al. 1 ch. 5 CO). Cela implique entre autres obligations, également pour l'administrateur qui n'est pas chargé de la gestion, de se mettre régulièrement au courant de la marche des affaires, d'exiger des rapports et de les étudier minutieusement et, au besoin, de demander des renseignements complémentaires et d'essayer de tirer au clair d'éventuelles erreurs (arrêt H 277/02 du 20 mars 2003, consid. 4.2 et la référence; cf. également arrêt H 40/05 du 29 novembre 2005, consid. 4). Ainsi, celui qui appartient au conseil d'administration d'une société et qui ne veille pas au versement des cotisations courantes et à l'acquittement des cotisations arriérées est réputé manquer à ses devoirs; la jurisprudence estime à cet égard qu'il existe en règle générale un lien de causalité adéquate entre l'inaction de l'organe et le non-paiement des cotisations (sous réserve du cas où l'administrateur est entré en fonction alors que la société était déjà surendettée), de sorte que celui-ci répond solidairement de l'entier du dommage subi par l'assurance (ATF 132 III 523, consid. 4.6; cf. également arrêt 9C_351/2008 du 30 septembre 2008, consid. 5.2).</w:t>
      </w:r>
    </w:p>
    <w:p>
      <w:r>
        <w:rPr>
          <w:b/>
        </w:rPr>
        <w:t>E. 4</w:t>
      </w:r>
    </w:p>
    <w:p>
      <w:r>
        <w:t>En l'espèce, le recourant fait valoir, en substance, que la décision sur opposition litigieuse ne lui serait pas opposable, dès lors qu'il n'avait plus qualité pour représenter la société A.________ SA lorsque les décisions de cotisations des 16 mai et 5 octobre 2007, adressées à la société mais notifiées directement à son domicile personnel, lui sont parvenues – ces dernières décisions devant ainsi être considérées comme nulles. Se référant au principe de la solidarité différenciée, il soutient par ailleurs qu'il n'entrait pas dans ses attributions de procéder aux retenues de salaires et de verser les cotisations à la caisse, de sorte qu'il n'aurait pas la qualité pour défendre dans la présente procédure. Il allègue enfin que l'intimée, en conduisant deux procédures simultanées mais "étanches" contre les deux codéfendeurs, d'une part, en ne donnant aucune suite à ses requêtes tendant à l'audition de témoins, respectivement à la production des éléments de nature à établir le dommage invoqué – singulièrement par la mise en œuvre d'une expertise comptable –, d'autre part, n'a pas respecté son droit d'être entendu, de</w:t>
      </w:r>
    </w:p>
    <w:p>
      <w:r>
        <w:t>- 16 - sorte que la décision attaquée devrait être annulée pour ces motifs également. Il convient de relever d'emblée que la qualité de salariés, pour le compte de la société A.________ SA, de MM. O.________ et Q.________ durant la période de 2004 à mi-2005, n'est pas contestée dans le cas d'espèce; elle a bien plutôt été expressément confirmée, notamment par le recourant, dans le cadre de l'audience d'instruction tenue le 24 avril 2009, de sorte qu'il n'y pas lieu d'examiner ce point plus avant. Cela étant, il convient d'apprécier le bien-fondé de la décision sur opposition litigieuse, au vu des différents arguments développés par le recourant. a) Le recourant soutient en premier lieu que les décisions de cotisations des 16 mai et 5 octobre 2007, lesquelles constituent le fondement de la décision de réparation du dommage du 27 août 2008 et, partant, de la décision sur opposition attaquée, sont nulles, dans la mesure où elles n'ont pas été valablement notifiées à la société A.________ SA. Il n'est pas contesté que le recourant a démissionné de ses fonctions au sein du conseil d'administration de la société en cause courant 2005, sa radiation du RC en tant qu'administrateur ayant été publiée le 28 novembre 2005 dans la Feuille officielle suisse du commerce (FOSC), et que la société a été déclarée dissoute d'office en janvier 2006; cette dissolution a entraîné la modification de sa raison de commerce, A.________ SA" devenant " A.________ SA en liquidation". Dans ces conditions, force est de constater que les décisions de cotisations des 16 mai et 5 octobre 2007 n'ont pas été valablement notifiées à la société, dès lors que le recourant, qui n'a aucunement été inscrit au RC en tant que liquidateur, n'avait plus alors la compétence de la représenter; ces décisions doivent par conséquent être considérées comme nulles. Cela étant, la nullité des décisions de cotisations des 16 mai et</w:t>
      </w:r>
    </w:p>
    <w:p>
      <w:r>
        <w:rPr>
          <w:b/>
        </w:rPr>
        <w:t>E. 5</w:t>
      </w:r>
    </w:p>
    <w:p>
      <w:r>
        <w:t>Il résulte de ce qui précède que la décision sur opposition attaquée doit être partiellement réformée, en ce sens que le montant de la créance en réparation du dommage dû par le recourant, en tant que codébiteur solidaire, est arrêté à 18'764 fr. 90.</w:t>
      </w:r>
    </w:p>
    <w:p>
      <w:r>
        <w:rPr>
          <w:b/>
        </w:rPr>
        <w:t>E. 6</w:t>
      </w:r>
    </w:p>
    <w:p>
      <w:r>
        <w:t>a) La procédure est gratuite pour les parties (art. 61 let. a LPGA). b) Le recourant, qui obtient très partiellement gain de cause avec le concours d'un avocat, a droit à une indemnité à titre de dépens réduits, dont le montant doit être déterminé, sans égard à la valeur litigieuse, d'après l'importance et la complexité du litige (art. 61 let. g LPGA; art. 55 al. 1 LPA-VD). En l'espèce, il convient d'arrêter ce montant à 500 fr. à la charge de l'intimée (art. 55 al. 2 LPA-VD), compte tenu de la charge liée à la procédure et de l'issue du litige (art. 56 al. 2 LPA-VD). Par ces motifs, le juge unique p r o n o n c e : I. Le recours est partiellement admis. II. La décision attaquée est réformée en ce sens que le montant de la créance en réparation du dommage dû par J.________, en tant que codébiteur solidaire, est arrêté à 18'764 fr. 90 (dix- huit mille sept cent soixante-quatre francs et septante centimes). III. Le présent arrêt est rendu sans frais.</w:t>
      </w:r>
    </w:p>
    <w:p>
      <w:r>
        <w:t>- 24 - IV. La Caisse cantonale vaudoise de compensation AVS versera à J.________ la somme de 500 fr. (cinq cents francs) à titre de dépens. Le juge unique : Le greffier : Du L'arrêt qui précède est notifié à : - Me Michel Ducrot, à 1920 Martigny (pour J.________); - Caisse cantonale vaudoise de compensation AVS, à 1815 Clarens; - F.________, à 1964 Conthey;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