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ZA25.047576 vom 20. Januar 2026</w:t>
      </w:r>
    </w:p>
    <w:p>
      <w:r>
        <w:t>VD Tribunal cantonal, 2026-01-20, FR</w:t>
      </w:r>
    </w:p>
    <w:p>
      <w:r>
        <w:rPr>
          <w:b/>
        </w:rPr>
        <w:t xml:space="preserve">Quelle: </w:t>
      </w:r>
      <w:r>
        <w:t>https://mcp.opencaselaw.ch/entscheid/vd_gerichte_ZA25.047576</w:t>
      </w:r>
    </w:p>
    <w:p>
      <w:r>
        <w:t>FR: VD_GERICHTE ZA25.047576 du 20 janvier 2026</w:t>
      </w:r>
    </w:p>
    <w:p>
      <w:r>
        <w:t>IT: VD_GERICHTE ZA25.047576 del 20 gennaio 2026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Vu l’issue du recours, il n’y a pas matière à mettre en œuvre une expertise médicale judiciaire. La conclusion du recourant en ce sens est donc sans objet.</w:t>
      </w:r>
    </w:p>
    <w:p>
      <w:r>
        <w:rPr>
          <w:b/>
        </w:rPr>
        <w:t>E. 9</w:t>
      </w:r>
    </w:p>
    <w:p>
      <w:r>
        <w:t>a) Il s’ensuit que le recours, bien fondé, doit être admis et la décision sur opposition annulée, la cause étant renvoyée à l’intimée pour complément d’instruction dans le sens des considérants et nouvelle décision. b) Il n’y a pas lieu de percevoir de frais judiciaires (art. 61 let. fbis LPGA), ni d’allouer des dépens au recourant qui a agi sans mandataire qualifié (ATF 127 V 205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