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ZA25.026904 vom 23. März 2026</w:t>
      </w:r>
    </w:p>
    <w:p>
      <w:r>
        <w:t>VD Tribunal cantonal, 2026-03-23, FR</w:t>
      </w:r>
    </w:p>
    <w:p>
      <w:r>
        <w:rPr>
          <w:b/>
        </w:rPr>
        <w:t xml:space="preserve">Quelle: </w:t>
      </w:r>
      <w:r>
        <w:t>https://mcp.opencaselaw.ch/entscheid/vd_gerichte_ZA25.026904</w:t>
      </w:r>
    </w:p>
    <w:p>
      <w:r>
        <w:t>FR: VD_GERICHTE ZA25.026904 du 23 mars 2026</w:t>
      </w:r>
    </w:p>
    <w:p>
      <w:r>
        <w:t>IT: VD_GERICHTE ZA25.026904 del 23 marzo 2026</w:t>
      </w:r>
    </w:p>
    <w:p>
      <w:pPr>
        <w:pStyle w:val="Heading2"/>
      </w:pPr>
      <w:r>
        <w:t>Erwägungen</w:t>
      </w:r>
    </w:p>
    <w:p>
      <w:r>
        <w:rPr>
          <w:b/>
        </w:rPr>
        <w:t>E. 7</w:t>
      </w:r>
    </w:p>
    <w:p>
      <w:r>
        <w:t>a) En définitive, le recours, mal fondé, doit être rejeté et la décision sur opposition de l’intimée du 13 mai 2025 confirmée. b) Il n’y a pas lieu de percevoir de frais judiciaires (art. 61 let. fbis LPGA). c) Il n’y a pas lieu d’allouer de dépens au recourant, qui n’obtient pas gain de cause (art. 61 let. g LPGA), ni à l’intimée, dès lors qu’elle a agi en qualité d’institution chargée de tâches de droit public (ATF 126 V 143 consid. 4 ; cf. également ATF 128 V 323). Par ces motifs, 10J010</w:t>
      </w:r>
    </w:p>
    <w:p>
      <w:r>
        <w:t>- 16 - la Cour des assurances sociales p r o n o n c e : I. Le recours est rejeté. II. La décision sur opposition rendue le 13 mai 2025 par la Caisse nationale suisse d'assurance en cas d'accidents est confirmée. III. Il n'est pas perçu de frais judiciaires, ni alloué de dépens. La présidente : Le greffier : Du 10J010</w:t>
      </w:r>
    </w:p>
    <w:p>
      <w:r>
        <w:t>- 17 - L'arrêt qui précède, dont la rédaction a été approuvée à huis clos, est notifié à : - B.________,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