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ZA25.017367 vom 20. November 2025</w:t>
      </w:r>
    </w:p>
    <w:p>
      <w:r>
        <w:t>VD Tribunal cantonal, 2025-11-20, FR</w:t>
      </w:r>
    </w:p>
    <w:p>
      <w:r>
        <w:rPr>
          <w:b/>
        </w:rPr>
        <w:t xml:space="preserve">Quelle: </w:t>
      </w:r>
      <w:r>
        <w:t>https://mcp.opencaselaw.ch/entscheid/vd_gerichte_ZA25.017367</w:t>
      </w:r>
    </w:p>
    <w:p>
      <w:r>
        <w:t>FR: VD_GERICHTE ZA25.017367 du 20 novembre 2025</w:t>
      </w:r>
    </w:p>
    <w:p>
      <w:r>
        <w:t>IT: VD_GERICHTE ZA25.017367 del 20 novembre 2025</w:t>
      </w:r>
    </w:p>
    <w:p>
      <w:pPr>
        <w:pStyle w:val="Heading2"/>
      </w:pPr>
      <w:r>
        <w:t>Erwägungen</w:t>
      </w:r>
    </w:p>
    <w:p>
      <w:r>
        <w:rPr>
          <w:b/>
        </w:rPr>
        <w:t>E. 5</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w:t>
      </w:r>
    </w:p>
    <w:p>
      <w:r>
        <w:t>- 10 -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6</w:t>
      </w:r>
    </w:p>
    <w:p>
      <w:r>
        <w:t>Dans un grief d’ordre formel qu’il convient d’examiner en premier lieu, le recourant se plaint du fait que la décision de l’intimée est insuffisamment motivée.</w:t>
      </w:r>
    </w:p>
    <w:p>
      <w:r>
        <w:t>- 11 -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w:t>
      </w:r>
    </w:p>
    <w:p>
      <w:r>
        <w:t>- 12 -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b) En l’occurrence, le recourant a été en mesure de contester la décision attaquée et faire valoir ses griefs dans le cadre d’un recours auprès de la Cour des assurances sociales du Tribunal cantonal. L’intimée a au demeurant pris position sur tous les moyens soulevés par le recourant dans le cadre de son opposition. Dans ces conditions, on ne discerne pas ici de violation du droit d’être entendu de l’intéressé. Quoi qu’il en soit et tel qu’il est articulé, le moyen tiré du défaut de motivation suffisante de la décision semble se confondre avec celui de violation du droit et ainsi devoir être examiné avec le fond du litige.</w:t>
      </w:r>
    </w:p>
    <w:p>
      <w:r>
        <w:rPr>
          <w:b/>
        </w:rPr>
        <w:t>E. 7</w:t>
      </w:r>
    </w:p>
    <w:p>
      <w:r>
        <w:t>septembre 2020 consid. 4.3.3 et les références). En l’occurrence, la Dre F.________ n’a pas établi de lien de causalité entre les troubles postérieurs au 26 mai 2023 et l’accident du 26 février 2023, mais a seulement constaté leur apparition après celui-ci. Ses propres observations dans son rapport du 8 août 2023, selon lesquelles l’IRM était sans particularité et le pied gauche souple et pas tuméfié, confirment qu’elle n’entendait pas se prononcer sur la causalité. En l’absence de lésions traumatiques objectivables sur les IRM, l’utilisation par la Dre F.________ du terme « post-traumatique » doit être comprise de manière temporelle et non causale. Dès lors, les rapports de cette médecin ne permettent pas de remettre en cause les avis des Drs Q.________ et C.________, étant encore relevé que la Dre F.________ a confirmé que l’IRM du 31 janvier 2024 n’avait montré aucune particularité. Finalement, le raisonnement du recourant, en tant qu’il soutient que son état au-delà du 26 mai 2023 ne peut être lié qu’à son accident du 26 février 2023 dans la mesure où il n’avait jamais connu d’antécédents médicaux au pied gauche auparavant, ce qui écarterait une cause dégénérative, repose sur le principe « post hoc ergo propter hoc ». Or la jurisprudence a souligné, de longue date, qu’un tel raisonnement ne permettait pas à lui seul de tirer de conclusions sur l’origine accidentelle d’une telle atteinte à la santé (cf. consid. 3b supra). c) Partant, en l’absence d’appréciation médicale permettant de susciter un doute quant aux conclusions du Dr Q.________, confirmées par le Dr C.________, c’est à juste titre que l’intimée a retenu que l’événement accidentel du 26 février 2023 avait cessé de déployer ses effets au 27 mai 2023, c’est-à-dire trois mois après sa survenance.</w:t>
      </w:r>
    </w:p>
    <w:p>
      <w:r>
        <w:rPr>
          <w:b/>
        </w:rPr>
        <w:t>E. 8</w:t>
      </w:r>
    </w:p>
    <w:p>
      <w:r>
        <w:t>a) En définitive, le recours, mal fondé, doit être rejeté et la décision sur opposition entreprise confirmée.</w:t>
      </w:r>
    </w:p>
    <w:p>
      <w:r>
        <w:t>- 15 - b) Il n’y a pas lieu de percevoir de frais judiciaires (art. 61 let. fbis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